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0304" w14:textId="22DC771C" w:rsidR="005A770F" w:rsidRPr="005A2722" w:rsidRDefault="001C5CC4">
      <w:pPr>
        <w:rPr>
          <w:b/>
          <w:bCs/>
        </w:rPr>
      </w:pPr>
      <w:r>
        <w:rPr>
          <w:b/>
          <w:bCs/>
        </w:rPr>
        <w:t>Targets</w:t>
      </w:r>
      <w:r w:rsidR="005961B2">
        <w:rPr>
          <w:b/>
          <w:bCs/>
        </w:rPr>
        <w:t xml:space="preserve"> Propel</w:t>
      </w:r>
      <w:r w:rsidR="00AB2860" w:rsidRPr="005A2722">
        <w:rPr>
          <w:b/>
          <w:bCs/>
        </w:rPr>
        <w:t xml:space="preserve"> </w:t>
      </w:r>
      <w:r>
        <w:rPr>
          <w:b/>
          <w:bCs/>
        </w:rPr>
        <w:t>Turbines</w:t>
      </w:r>
      <w:r w:rsidR="00AB2860" w:rsidRPr="005A2722">
        <w:rPr>
          <w:b/>
          <w:bCs/>
        </w:rPr>
        <w:t xml:space="preserve"> </w:t>
      </w:r>
    </w:p>
    <w:p w14:paraId="20E44E35" w14:textId="1F9A321D" w:rsidR="00CE7898" w:rsidRPr="005A2722" w:rsidRDefault="002053CA">
      <w:pPr>
        <w:rPr>
          <w:b/>
          <w:bCs/>
        </w:rPr>
      </w:pPr>
      <w:r w:rsidRPr="00D22838">
        <w:rPr>
          <w:b/>
          <w:bCs/>
        </w:rPr>
        <w:t>Nearly</w:t>
      </w:r>
      <w:r w:rsidR="00CE7898" w:rsidRPr="00D22838">
        <w:rPr>
          <w:b/>
          <w:bCs/>
        </w:rPr>
        <w:t xml:space="preserve"> 78 GW</w:t>
      </w:r>
      <w:r w:rsidR="00CE7898" w:rsidRPr="005A2722">
        <w:rPr>
          <w:b/>
          <w:bCs/>
        </w:rPr>
        <w:t xml:space="preserve"> of new wind power capacity was connected to the global power grid</w:t>
      </w:r>
      <w:r w:rsidR="005A2722">
        <w:rPr>
          <w:b/>
          <w:bCs/>
        </w:rPr>
        <w:t xml:space="preserve"> </w:t>
      </w:r>
      <w:r w:rsidR="00127D51">
        <w:rPr>
          <w:b/>
          <w:bCs/>
        </w:rPr>
        <w:t>in 2022</w:t>
      </w:r>
      <w:r w:rsidR="00596A4E">
        <w:rPr>
          <w:b/>
          <w:bCs/>
        </w:rPr>
        <w:t>.</w:t>
      </w:r>
      <w:r w:rsidR="0060378A">
        <w:rPr>
          <w:b/>
          <w:bCs/>
        </w:rPr>
        <w:t xml:space="preserve"> </w:t>
      </w:r>
      <w:r w:rsidR="00596A4E">
        <w:rPr>
          <w:b/>
          <w:bCs/>
        </w:rPr>
        <w:t>This</w:t>
      </w:r>
      <w:r w:rsidR="0060378A">
        <w:rPr>
          <w:b/>
          <w:bCs/>
        </w:rPr>
        <w:t xml:space="preserve"> number </w:t>
      </w:r>
      <w:r w:rsidR="00596A4E">
        <w:rPr>
          <w:b/>
          <w:bCs/>
        </w:rPr>
        <w:t xml:space="preserve">is </w:t>
      </w:r>
      <w:r w:rsidR="0060378A">
        <w:rPr>
          <w:b/>
          <w:bCs/>
        </w:rPr>
        <w:t xml:space="preserve">expected to grow to 136 GW each year over the next five years. </w:t>
      </w:r>
    </w:p>
    <w:p w14:paraId="423F5BBB" w14:textId="682D8EEF" w:rsidR="00C21442" w:rsidRDefault="00B14D67" w:rsidP="00C21442">
      <w:r>
        <w:t xml:space="preserve">To meet the </w:t>
      </w:r>
      <w:r w:rsidR="00C21442">
        <w:t>challenge</w:t>
      </w:r>
      <w:r w:rsidR="00276C6D">
        <w:t xml:space="preserve"> of </w:t>
      </w:r>
      <w:r w:rsidR="00611C5F">
        <w:t>provid</w:t>
      </w:r>
      <w:r w:rsidR="009F7C51">
        <w:t>ing</w:t>
      </w:r>
      <w:r w:rsidR="00611C5F">
        <w:t xml:space="preserve"> </w:t>
      </w:r>
      <w:r w:rsidR="00C21442">
        <w:t xml:space="preserve">affordable energy </w:t>
      </w:r>
      <w:r w:rsidR="00AE6C3F">
        <w:t>while also</w:t>
      </w:r>
      <w:r w:rsidR="009A25C5">
        <w:t xml:space="preserve"> </w:t>
      </w:r>
      <w:r w:rsidR="00C21442">
        <w:t xml:space="preserve">meeting </w:t>
      </w:r>
      <w:r w:rsidR="00AE6C3F">
        <w:t xml:space="preserve">daunting </w:t>
      </w:r>
      <w:r w:rsidR="00C21442">
        <w:t xml:space="preserve">climate </w:t>
      </w:r>
      <w:r w:rsidR="009A25C5">
        <w:t>goals</w:t>
      </w:r>
      <w:r w:rsidR="00AE6C3F">
        <w:t>,</w:t>
      </w:r>
      <w:r>
        <w:t xml:space="preserve"> experts </w:t>
      </w:r>
      <w:r w:rsidR="00595A19">
        <w:t>are</w:t>
      </w:r>
      <w:r>
        <w:t xml:space="preserve"> turn</w:t>
      </w:r>
      <w:r w:rsidR="00595A19">
        <w:t>ing</w:t>
      </w:r>
      <w:r>
        <w:t xml:space="preserve"> to </w:t>
      </w:r>
      <w:r w:rsidR="00C21442">
        <w:t xml:space="preserve">wind power. </w:t>
      </w:r>
      <w:r w:rsidR="00AE6C3F">
        <w:t>Nearly</w:t>
      </w:r>
      <w:r w:rsidR="00664F61">
        <w:t xml:space="preserve"> 78 GW </w:t>
      </w:r>
      <w:r w:rsidR="00203172">
        <w:t>of wind power capacity was added to the global power grid in 2022</w:t>
      </w:r>
      <w:r w:rsidR="00DF41BE">
        <w:t xml:space="preserve"> with </w:t>
      </w:r>
      <w:r w:rsidR="00C21442">
        <w:t xml:space="preserve">the global wind market ready </w:t>
      </w:r>
      <w:r w:rsidR="00C21442" w:rsidRPr="00A42F3C">
        <w:t xml:space="preserve">to </w:t>
      </w:r>
      <w:r w:rsidR="00931B09" w:rsidRPr="00A42F3C">
        <w:t>add</w:t>
      </w:r>
      <w:r w:rsidR="007E5F1C" w:rsidRPr="00A42F3C">
        <w:t xml:space="preserve"> more than </w:t>
      </w:r>
      <w:r w:rsidR="00C21442" w:rsidRPr="00A42F3C">
        <w:t>100 GW for the first time</w:t>
      </w:r>
      <w:r w:rsidR="00DD66F0" w:rsidRPr="00A42F3C">
        <w:t xml:space="preserve"> this year</w:t>
      </w:r>
      <w:r w:rsidR="006C2886" w:rsidRPr="00A42F3C">
        <w:t>, reports</w:t>
      </w:r>
      <w:r w:rsidR="006C2886">
        <w:t xml:space="preserve"> </w:t>
      </w:r>
      <w:r w:rsidR="00931B09">
        <w:t xml:space="preserve">the </w:t>
      </w:r>
      <w:r w:rsidR="002060F7">
        <w:t xml:space="preserve">Global Wind </w:t>
      </w:r>
      <w:r w:rsidR="00211A3F">
        <w:t>Energy Council (</w:t>
      </w:r>
      <w:r w:rsidR="006C2886">
        <w:t>GWEC</w:t>
      </w:r>
      <w:r w:rsidR="00211A3F">
        <w:t xml:space="preserve">) in its </w:t>
      </w:r>
      <w:r w:rsidR="00982175">
        <w:t>“</w:t>
      </w:r>
      <w:hyperlink r:id="rId4" w:history="1">
        <w:r w:rsidR="00982175" w:rsidRPr="000C6FED">
          <w:rPr>
            <w:rStyle w:val="Hyperlink"/>
          </w:rPr>
          <w:t xml:space="preserve">Global Wind Report </w:t>
        </w:r>
        <w:r w:rsidR="00211A3F" w:rsidRPr="000C6FED">
          <w:rPr>
            <w:rStyle w:val="Hyperlink"/>
          </w:rPr>
          <w:t>2023</w:t>
        </w:r>
      </w:hyperlink>
      <w:r w:rsidR="00C21442">
        <w:t>.</w:t>
      </w:r>
      <w:r w:rsidR="00982175">
        <w:t>”</w:t>
      </w:r>
      <w:r w:rsidR="00C21442">
        <w:t xml:space="preserve"> </w:t>
      </w:r>
    </w:p>
    <w:p w14:paraId="07D2E623" w14:textId="66B5FC4D" w:rsidR="00A11E40" w:rsidRDefault="001E6C2D">
      <w:r>
        <w:t xml:space="preserve">These numbers are </w:t>
      </w:r>
      <w:r w:rsidR="001A7A54">
        <w:t>even more intimidating</w:t>
      </w:r>
      <w:r>
        <w:t xml:space="preserve"> if you look back at 2022. </w:t>
      </w:r>
      <w:r w:rsidR="0061304E">
        <w:t xml:space="preserve">Overall </w:t>
      </w:r>
      <w:r w:rsidR="00BE49CB">
        <w:t xml:space="preserve">the market added </w:t>
      </w:r>
      <w:r w:rsidR="007F3219" w:rsidRPr="007F3219">
        <w:t>77.6</w:t>
      </w:r>
      <w:r w:rsidR="00BE49CB" w:rsidRPr="007F3219">
        <w:t xml:space="preserve"> GW</w:t>
      </w:r>
      <w:r w:rsidR="00BE49CB">
        <w:t xml:space="preserve"> worldwide last year</w:t>
      </w:r>
      <w:r w:rsidR="00C90586">
        <w:t xml:space="preserve"> with </w:t>
      </w:r>
      <w:r w:rsidR="00B4464F">
        <w:t xml:space="preserve">onshore providing </w:t>
      </w:r>
      <w:r w:rsidR="00FE4247" w:rsidRPr="00FE4247">
        <w:t>68.8</w:t>
      </w:r>
      <w:r w:rsidR="00B4464F" w:rsidRPr="00FE4247">
        <w:t xml:space="preserve"> GW</w:t>
      </w:r>
      <w:r w:rsidR="00B4464F">
        <w:t xml:space="preserve"> and offshore providing </w:t>
      </w:r>
      <w:r w:rsidR="00DC3FDC" w:rsidRPr="00DC3FDC">
        <w:t>8.8</w:t>
      </w:r>
      <w:r w:rsidR="00F52FAC" w:rsidRPr="00DC3FDC">
        <w:t xml:space="preserve"> GW.</w:t>
      </w:r>
      <w:r w:rsidR="00F52FAC">
        <w:t xml:space="preserve"> </w:t>
      </w:r>
      <w:r>
        <w:t>The</w:t>
      </w:r>
      <w:r w:rsidR="00703ABC">
        <w:t xml:space="preserve"> onshore</w:t>
      </w:r>
      <w:r w:rsidR="005A2722">
        <w:t xml:space="preserve"> </w:t>
      </w:r>
      <w:r w:rsidR="00A11E40">
        <w:t xml:space="preserve">wind </w:t>
      </w:r>
      <w:r>
        <w:t>installation</w:t>
      </w:r>
      <w:r w:rsidR="00A11E40">
        <w:t xml:space="preserve"> market</w:t>
      </w:r>
      <w:r w:rsidR="00907C89">
        <w:t xml:space="preserve"> </w:t>
      </w:r>
      <w:r w:rsidR="00703ABC">
        <w:t>came in at</w:t>
      </w:r>
      <w:r w:rsidR="005A2722">
        <w:t xml:space="preserve"> 5 percent lower than the previous year </w:t>
      </w:r>
      <w:r w:rsidR="00A11E40">
        <w:t>primarily because of</w:t>
      </w:r>
      <w:r w:rsidR="005A2722">
        <w:t xml:space="preserve"> falling installations in the United States</w:t>
      </w:r>
      <w:r w:rsidR="007A5A04">
        <w:t>, GWEC report</w:t>
      </w:r>
      <w:r w:rsidR="00E027CF">
        <w:t>ed</w:t>
      </w:r>
      <w:r w:rsidR="00C21442">
        <w:t xml:space="preserve">. </w:t>
      </w:r>
      <w:r w:rsidR="00282CD5">
        <w:t>Offshore</w:t>
      </w:r>
      <w:r w:rsidR="00CF1C4A">
        <w:t xml:space="preserve"> </w:t>
      </w:r>
      <w:r w:rsidR="00CF1C4A">
        <w:t>additions</w:t>
      </w:r>
      <w:r w:rsidR="00973F3F">
        <w:t>, however,</w:t>
      </w:r>
      <w:r w:rsidR="00CF1C4A">
        <w:t xml:space="preserve"> made 2022 the second highest year in history for offshore wind installations</w:t>
      </w:r>
      <w:r w:rsidR="007B5761">
        <w:t>.</w:t>
      </w:r>
    </w:p>
    <w:p w14:paraId="7E6E6C92" w14:textId="3554EB2C" w:rsidR="005C404C" w:rsidRDefault="0025221F">
      <w:pPr>
        <w:pBdr>
          <w:bottom w:val="single" w:sz="12" w:space="1" w:color="auto"/>
        </w:pBdr>
      </w:pPr>
      <w:r>
        <w:t xml:space="preserve">Total </w:t>
      </w:r>
      <w:r>
        <w:t xml:space="preserve">installed wind capacity </w:t>
      </w:r>
      <w:r>
        <w:t>stands at</w:t>
      </w:r>
      <w:r>
        <w:t xml:space="preserve"> 906 GW</w:t>
      </w:r>
      <w:r w:rsidR="00146BC2">
        <w:t xml:space="preserve">. </w:t>
      </w:r>
      <w:r w:rsidR="005C404C">
        <w:t>GWEC Market Intelligence expects that 680 GW of new capacity will be added over the next five years. This means there will be more than 136 GW of new installations per year until 2027.</w:t>
      </w:r>
      <w:r w:rsidR="007A5A04">
        <w:t xml:space="preserve"> </w:t>
      </w:r>
      <w:r w:rsidR="009A2FD6">
        <w:t xml:space="preserve">But despite a revised </w:t>
      </w:r>
      <w:r w:rsidR="0067271B">
        <w:t xml:space="preserve">growth rate by </w:t>
      </w:r>
      <w:r w:rsidR="005743BD">
        <w:t>GWEC Market Intelligence</w:t>
      </w:r>
      <w:r w:rsidR="0067271B">
        <w:t xml:space="preserve"> (</w:t>
      </w:r>
      <w:r w:rsidR="005743BD">
        <w:t>YoY growth of 13</w:t>
      </w:r>
      <w:r w:rsidR="0032174D">
        <w:t xml:space="preserve"> percent</w:t>
      </w:r>
      <w:r w:rsidR="0067271B">
        <w:t>)</w:t>
      </w:r>
      <w:r w:rsidR="00B66003">
        <w:t>,</w:t>
      </w:r>
      <w:r w:rsidR="0067271B">
        <w:t xml:space="preserve"> </w:t>
      </w:r>
      <w:r w:rsidR="00E740E1">
        <w:t xml:space="preserve">the market will </w:t>
      </w:r>
      <w:r w:rsidR="00DA7248">
        <w:t>achieve 68</w:t>
      </w:r>
      <w:r w:rsidR="00A26FE9">
        <w:t xml:space="preserve"> percent</w:t>
      </w:r>
      <w:r w:rsidR="005743BD">
        <w:t xml:space="preserve"> of the wind power capacity required to stay on track </w:t>
      </w:r>
      <w:r w:rsidR="00B66003">
        <w:t>with</w:t>
      </w:r>
      <w:r w:rsidR="005743BD">
        <w:t xml:space="preserve"> </w:t>
      </w:r>
      <w:r w:rsidR="00A42F3C">
        <w:t>net zero goals.</w:t>
      </w:r>
    </w:p>
    <w:p w14:paraId="1D0CC307" w14:textId="77777777" w:rsidR="00DA7248" w:rsidRDefault="00DA7248">
      <w:pPr>
        <w:pBdr>
          <w:bottom w:val="single" w:sz="12" w:space="1" w:color="auto"/>
        </w:pBdr>
      </w:pPr>
    </w:p>
    <w:p w14:paraId="06C1BACE" w14:textId="77777777" w:rsidR="00DA7248" w:rsidRDefault="00DA7248"/>
    <w:p w14:paraId="25F9163D" w14:textId="387B0C6E" w:rsidR="00FC0304" w:rsidRDefault="00FC0304">
      <w:r>
        <w:t xml:space="preserve">Graph from p. </w:t>
      </w:r>
      <w:r w:rsidR="00235DEB">
        <w:t>92</w:t>
      </w:r>
      <w:r>
        <w:t xml:space="preserve"> </w:t>
      </w:r>
    </w:p>
    <w:p w14:paraId="08717025" w14:textId="6AAB6AD8" w:rsidR="00C21442" w:rsidRDefault="00C21442">
      <w:r>
        <w:t xml:space="preserve">New </w:t>
      </w:r>
      <w:r w:rsidR="00854566">
        <w:t xml:space="preserve">Installations </w:t>
      </w:r>
      <w:r w:rsidR="00DA7248">
        <w:t>in</w:t>
      </w:r>
      <w:r w:rsidR="00854566">
        <w:t xml:space="preserve"> GW </w:t>
      </w:r>
    </w:p>
    <w:p w14:paraId="25493C9B" w14:textId="4A54C1FD" w:rsidR="007F205A" w:rsidRDefault="007F205A">
      <w:r>
        <w:t>Source: GWEC</w:t>
      </w:r>
    </w:p>
    <w:p w14:paraId="6AAEDDBD" w14:textId="7EA99250" w:rsidR="00EA723B" w:rsidRDefault="00EA723B">
      <w:r>
        <w:t>Year</w:t>
      </w:r>
      <w:r>
        <w:tab/>
        <w:t>onshore</w:t>
      </w:r>
      <w:r>
        <w:tab/>
        <w:t>offshore</w:t>
      </w:r>
      <w:r>
        <w:tab/>
        <w:t xml:space="preserve"> Total</w:t>
      </w:r>
    </w:p>
    <w:p w14:paraId="0616797D" w14:textId="422A392E" w:rsidR="00951B1F" w:rsidRDefault="00FE3363">
      <w:r>
        <w:t>20</w:t>
      </w:r>
      <w:r w:rsidR="00235DEB">
        <w:t>18</w:t>
      </w:r>
      <w:r>
        <w:tab/>
      </w:r>
      <w:r w:rsidR="00C25515">
        <w:t>46.3</w:t>
      </w:r>
      <w:r>
        <w:t xml:space="preserve"> </w:t>
      </w:r>
      <w:r>
        <w:tab/>
      </w:r>
      <w:r w:rsidR="005542BF">
        <w:tab/>
      </w:r>
      <w:r w:rsidR="008B2CBC">
        <w:t>4.4</w:t>
      </w:r>
      <w:r>
        <w:t xml:space="preserve"> </w:t>
      </w:r>
      <w:r>
        <w:tab/>
      </w:r>
      <w:r w:rsidR="005542BF">
        <w:tab/>
      </w:r>
      <w:r w:rsidR="00F476DC">
        <w:t>50.7</w:t>
      </w:r>
    </w:p>
    <w:p w14:paraId="69886944" w14:textId="272DA934" w:rsidR="00FE3363" w:rsidRDefault="00E20A26">
      <w:r>
        <w:t>20</w:t>
      </w:r>
      <w:r w:rsidR="00235DEB">
        <w:t>19</w:t>
      </w:r>
      <w:r>
        <w:tab/>
      </w:r>
      <w:r w:rsidR="00C25515">
        <w:t>54.6</w:t>
      </w:r>
      <w:r w:rsidR="000D500B">
        <w:tab/>
      </w:r>
      <w:r w:rsidR="005542BF">
        <w:tab/>
      </w:r>
      <w:r w:rsidR="008B2CBC">
        <w:t>6.2</w:t>
      </w:r>
      <w:r w:rsidR="000D500B">
        <w:tab/>
      </w:r>
      <w:r w:rsidR="005542BF">
        <w:tab/>
      </w:r>
      <w:r w:rsidR="00F476DC">
        <w:t>60.8</w:t>
      </w:r>
    </w:p>
    <w:p w14:paraId="3FB61DB1" w14:textId="200E0A76" w:rsidR="000D500B" w:rsidRDefault="000D500B">
      <w:r>
        <w:t>202</w:t>
      </w:r>
      <w:r w:rsidR="00CE7B5A">
        <w:t>0</w:t>
      </w:r>
      <w:r>
        <w:tab/>
      </w:r>
      <w:r w:rsidR="008B2CBC">
        <w:t>88.4</w:t>
      </w:r>
      <w:r w:rsidR="005E4733">
        <w:tab/>
      </w:r>
      <w:r w:rsidR="005542BF">
        <w:tab/>
      </w:r>
      <w:r w:rsidR="008B2CBC">
        <w:t>6.9</w:t>
      </w:r>
      <w:r w:rsidR="005E4733">
        <w:tab/>
      </w:r>
      <w:r w:rsidR="005542BF">
        <w:tab/>
      </w:r>
      <w:r w:rsidR="009123E4">
        <w:t>9</w:t>
      </w:r>
      <w:r w:rsidR="003E1074">
        <w:t>5.3</w:t>
      </w:r>
    </w:p>
    <w:p w14:paraId="24CDE85C" w14:textId="164BE619" w:rsidR="005E4733" w:rsidRDefault="00F823D9">
      <w:r>
        <w:t>202</w:t>
      </w:r>
      <w:r w:rsidR="00CE7B5A">
        <w:t>1</w:t>
      </w:r>
      <w:r>
        <w:tab/>
      </w:r>
      <w:r w:rsidR="008B2CBC">
        <w:t>72.5</w:t>
      </w:r>
      <w:r w:rsidR="00B74F2C">
        <w:tab/>
      </w:r>
      <w:r w:rsidR="002E2CF5">
        <w:tab/>
      </w:r>
      <w:r w:rsidR="00EB7A81">
        <w:t>2</w:t>
      </w:r>
      <w:r w:rsidR="008B2CBC">
        <w:t>1.1</w:t>
      </w:r>
      <w:r w:rsidR="00EB7A81">
        <w:tab/>
      </w:r>
      <w:r w:rsidR="002E2CF5">
        <w:tab/>
      </w:r>
      <w:r w:rsidR="009123E4">
        <w:t>93.6</w:t>
      </w:r>
    </w:p>
    <w:p w14:paraId="67BDBE53" w14:textId="0BE83505" w:rsidR="00F823D9" w:rsidRDefault="00F823D9">
      <w:r>
        <w:t>202</w:t>
      </w:r>
      <w:r w:rsidR="00CE7B5A">
        <w:t>2</w:t>
      </w:r>
      <w:r w:rsidR="00B74F2C">
        <w:tab/>
      </w:r>
      <w:r w:rsidR="008B2CBC">
        <w:t>68.8</w:t>
      </w:r>
      <w:r w:rsidR="00EB7A81">
        <w:tab/>
      </w:r>
      <w:r w:rsidR="002E2CF5">
        <w:tab/>
      </w:r>
      <w:r w:rsidR="008B2CBC">
        <w:t>8.8</w:t>
      </w:r>
      <w:r w:rsidR="00EB7A81">
        <w:tab/>
      </w:r>
      <w:r w:rsidR="002E2CF5">
        <w:tab/>
      </w:r>
      <w:r w:rsidR="00266D72">
        <w:t>77</w:t>
      </w:r>
      <w:r w:rsidR="009123E4">
        <w:t>.6</w:t>
      </w:r>
    </w:p>
    <w:p w14:paraId="66DD07C7" w14:textId="77777777" w:rsidR="00266D72" w:rsidRDefault="00266D72">
      <w:r>
        <w:t>--</w:t>
      </w:r>
      <w:r>
        <w:br/>
      </w:r>
    </w:p>
    <w:p w14:paraId="7DA9D8A9" w14:textId="77777777" w:rsidR="00266D72" w:rsidRDefault="00266D72"/>
    <w:p w14:paraId="600654D0" w14:textId="77777777" w:rsidR="00266D72" w:rsidRDefault="00266D72"/>
    <w:p w14:paraId="40AE7C43" w14:textId="77777777" w:rsidR="00266D72" w:rsidRDefault="00266D72"/>
    <w:p w14:paraId="421D0B67" w14:textId="6DF08F18" w:rsidR="00841307" w:rsidRDefault="00841307">
      <w:r>
        <w:lastRenderedPageBreak/>
        <w:t>Graph on p. 32</w:t>
      </w:r>
    </w:p>
    <w:p w14:paraId="7822B20F" w14:textId="173CF755" w:rsidR="00C21442" w:rsidRDefault="001E1896">
      <w:r>
        <w:t xml:space="preserve">Number of </w:t>
      </w:r>
      <w:r w:rsidR="00510FE8">
        <w:t>Jack-Up and Heavy Lift</w:t>
      </w:r>
      <w:r w:rsidR="00D9085A">
        <w:t xml:space="preserve"> Vessels </w:t>
      </w:r>
    </w:p>
    <w:p w14:paraId="3DA502D6" w14:textId="720C591E" w:rsidR="00BA3BF1" w:rsidRDefault="00BA3BF1">
      <w:r>
        <w:t>Source: GWEC</w:t>
      </w:r>
      <w:r w:rsidR="00A72626">
        <w:t xml:space="preserve"> Market Intelligence Global Offshore Wind Turbine Installation Vessel Database, October 2022</w:t>
      </w:r>
    </w:p>
    <w:p w14:paraId="5FAF2E2A" w14:textId="2ABE976E" w:rsidR="003343B3" w:rsidRDefault="003343B3">
      <w:r>
        <w:t>Type/Geo</w:t>
      </w:r>
      <w:r>
        <w:tab/>
      </w:r>
      <w:r w:rsidR="00841307">
        <w:t>In Operation</w:t>
      </w:r>
      <w:r w:rsidR="00841307">
        <w:tab/>
        <w:t>Under Construction/Planned</w:t>
      </w:r>
    </w:p>
    <w:p w14:paraId="0F741C78" w14:textId="77777777" w:rsidR="00A2448F" w:rsidRDefault="001D7521">
      <w:r>
        <w:t>Europe</w:t>
      </w:r>
      <w:r w:rsidR="008804D3">
        <w:tab/>
      </w:r>
      <w:r w:rsidR="008804D3">
        <w:tab/>
      </w:r>
      <w:r>
        <w:t>79</w:t>
      </w:r>
      <w:r w:rsidR="008804D3">
        <w:tab/>
      </w:r>
      <w:r w:rsidR="008804D3">
        <w:tab/>
        <w:t>1</w:t>
      </w:r>
      <w:r w:rsidR="00A2448F">
        <w:t>6</w:t>
      </w:r>
    </w:p>
    <w:p w14:paraId="17B7FE93" w14:textId="77777777" w:rsidR="001203E2" w:rsidRDefault="00A2448F">
      <w:r>
        <w:t>China</w:t>
      </w:r>
      <w:r>
        <w:tab/>
      </w:r>
      <w:r>
        <w:tab/>
      </w:r>
      <w:r w:rsidR="001203E2">
        <w:t>8</w:t>
      </w:r>
      <w:r>
        <w:t>4</w:t>
      </w:r>
      <w:r w:rsidR="001203E2">
        <w:tab/>
      </w:r>
      <w:r w:rsidR="001203E2">
        <w:tab/>
        <w:t>23</w:t>
      </w:r>
    </w:p>
    <w:p w14:paraId="5DF719DE" w14:textId="77777777" w:rsidR="00BA3BF1" w:rsidRDefault="001203E2">
      <w:r>
        <w:t>Asia (not</w:t>
      </w:r>
      <w:r>
        <w:br/>
        <w:t>China</w:t>
      </w:r>
      <w:r>
        <w:tab/>
      </w:r>
      <w:r>
        <w:tab/>
      </w:r>
      <w:r w:rsidR="00BA3BF1">
        <w:t>18</w:t>
      </w:r>
      <w:r w:rsidR="00BA3BF1">
        <w:tab/>
      </w:r>
      <w:r w:rsidR="00BA3BF1">
        <w:tab/>
        <w:t>4</w:t>
      </w:r>
    </w:p>
    <w:p w14:paraId="2B421BC8" w14:textId="77777777" w:rsidR="00BA3BF1" w:rsidRDefault="00BA3BF1">
      <w:r>
        <w:t>North</w:t>
      </w:r>
      <w:r>
        <w:br/>
        <w:t>America</w:t>
      </w:r>
      <w:r>
        <w:tab/>
        <w:t>2</w:t>
      </w:r>
      <w:r>
        <w:tab/>
      </w:r>
      <w:r>
        <w:tab/>
        <w:t>4</w:t>
      </w:r>
    </w:p>
    <w:p w14:paraId="1B548589" w14:textId="77777777" w:rsidR="000C5AA8" w:rsidRDefault="000C5AA8"/>
    <w:p w14:paraId="69EF4D6C" w14:textId="31AD0FA4" w:rsidR="000C5AA8" w:rsidRDefault="000C5AA8">
      <w:r>
        <w:t>_____</w:t>
      </w:r>
    </w:p>
    <w:p w14:paraId="529C1D3A" w14:textId="77777777" w:rsidR="00602709" w:rsidRDefault="00602709"/>
    <w:p w14:paraId="1853132B" w14:textId="6607BBC4" w:rsidR="00602709" w:rsidRDefault="009F5001">
      <w:r>
        <w:t>Pie Chart</w:t>
      </w:r>
      <w:r w:rsidR="00602709">
        <w:t xml:space="preserve"> p. 25</w:t>
      </w:r>
    </w:p>
    <w:p w14:paraId="4D313EB0" w14:textId="229EF4D3" w:rsidR="009F5001" w:rsidRDefault="00247803">
      <w:r>
        <w:t>Wind Turbine Manufacturing Capacity</w:t>
      </w:r>
      <w:r w:rsidR="009F5001">
        <w:t xml:space="preserve">, </w:t>
      </w:r>
      <w:r w:rsidR="003D62CD">
        <w:t>163 GW (</w:t>
      </w:r>
      <w:r w:rsidR="009F5001">
        <w:t>2023</w:t>
      </w:r>
      <w:r w:rsidR="003D62CD">
        <w:t>)</w:t>
      </w:r>
    </w:p>
    <w:p w14:paraId="1893AAC7" w14:textId="0F47BA72" w:rsidR="009F5001" w:rsidRDefault="009F5001">
      <w:r>
        <w:t>Source: GWEC Market Intelligence, February</w:t>
      </w:r>
    </w:p>
    <w:p w14:paraId="1D675692" w14:textId="59062896" w:rsidR="009F5001" w:rsidRDefault="003D62CD">
      <w:r>
        <w:t xml:space="preserve">Country </w:t>
      </w:r>
      <w:r>
        <w:tab/>
        <w:t>Percentage</w:t>
      </w:r>
    </w:p>
    <w:p w14:paraId="25CD04B1" w14:textId="106C4786" w:rsidR="003D62CD" w:rsidRDefault="00416A61">
      <w:r>
        <w:t>China</w:t>
      </w:r>
      <w:r>
        <w:tab/>
      </w:r>
      <w:r>
        <w:tab/>
        <w:t>60%</w:t>
      </w:r>
    </w:p>
    <w:p w14:paraId="258CAF81" w14:textId="5FB2E788" w:rsidR="00416A61" w:rsidRDefault="00416A61">
      <w:r>
        <w:t>Europe</w:t>
      </w:r>
      <w:r>
        <w:tab/>
      </w:r>
      <w:r>
        <w:tab/>
        <w:t>19%</w:t>
      </w:r>
    </w:p>
    <w:p w14:paraId="7B175511" w14:textId="460F2A27" w:rsidR="00416A61" w:rsidRDefault="00416A61">
      <w:r>
        <w:t>United States</w:t>
      </w:r>
      <w:r>
        <w:tab/>
      </w:r>
      <w:r w:rsidR="00C238FA">
        <w:t>9%</w:t>
      </w:r>
    </w:p>
    <w:p w14:paraId="417B5EE8" w14:textId="65B76DDA" w:rsidR="00C238FA" w:rsidRDefault="00C238FA">
      <w:r>
        <w:t>India</w:t>
      </w:r>
      <w:r>
        <w:tab/>
      </w:r>
      <w:r>
        <w:tab/>
        <w:t>7%</w:t>
      </w:r>
    </w:p>
    <w:p w14:paraId="5BE961DE" w14:textId="7DF9BCA3" w:rsidR="00C238FA" w:rsidRDefault="00C238FA">
      <w:r>
        <w:t>LATAM</w:t>
      </w:r>
      <w:r>
        <w:tab/>
      </w:r>
      <w:r>
        <w:tab/>
        <w:t>4%</w:t>
      </w:r>
    </w:p>
    <w:p w14:paraId="12373608" w14:textId="1028B413" w:rsidR="00C238FA" w:rsidRDefault="00211C3A">
      <w:r>
        <w:t>Other</w:t>
      </w:r>
      <w:r>
        <w:tab/>
      </w:r>
      <w:r>
        <w:tab/>
        <w:t>1%</w:t>
      </w:r>
    </w:p>
    <w:p w14:paraId="3EC41A16" w14:textId="7626E522" w:rsidR="00C21442" w:rsidRDefault="00F401A5">
      <w:r>
        <w:tab/>
      </w:r>
      <w:r>
        <w:tab/>
      </w:r>
      <w:r>
        <w:tab/>
      </w:r>
      <w:r>
        <w:tab/>
      </w:r>
      <w:r>
        <w:tab/>
      </w:r>
      <w:r>
        <w:tab/>
      </w:r>
      <w:r>
        <w:tab/>
      </w:r>
    </w:p>
    <w:p w14:paraId="1777B707" w14:textId="77777777" w:rsidR="00C21442" w:rsidRDefault="00C21442"/>
    <w:p w14:paraId="538901C3" w14:textId="77777777" w:rsidR="00C21442" w:rsidRDefault="00C21442"/>
    <w:p w14:paraId="3777E932" w14:textId="77777777" w:rsidR="00C21442" w:rsidRDefault="00C21442"/>
    <w:p w14:paraId="62DF7332" w14:textId="77777777" w:rsidR="00C21442" w:rsidRDefault="00C21442"/>
    <w:p w14:paraId="55683BA5" w14:textId="77777777" w:rsidR="00AB2860" w:rsidRDefault="00AB2860"/>
    <w:sectPr w:rsidR="00AB2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60"/>
    <w:rsid w:val="00047325"/>
    <w:rsid w:val="000C5AA8"/>
    <w:rsid w:val="000C6FED"/>
    <w:rsid w:val="000D500B"/>
    <w:rsid w:val="000E1DCD"/>
    <w:rsid w:val="000E6AE2"/>
    <w:rsid w:val="000F53C4"/>
    <w:rsid w:val="001203E2"/>
    <w:rsid w:val="00127D51"/>
    <w:rsid w:val="00146BC2"/>
    <w:rsid w:val="001A7A54"/>
    <w:rsid w:val="001C5CC4"/>
    <w:rsid w:val="001D7521"/>
    <w:rsid w:val="001E1896"/>
    <w:rsid w:val="001E5705"/>
    <w:rsid w:val="001E6C2D"/>
    <w:rsid w:val="00203172"/>
    <w:rsid w:val="002053CA"/>
    <w:rsid w:val="002060F7"/>
    <w:rsid w:val="00211A3F"/>
    <w:rsid w:val="00211C3A"/>
    <w:rsid w:val="00235DEB"/>
    <w:rsid w:val="00247803"/>
    <w:rsid w:val="0025221F"/>
    <w:rsid w:val="00266D72"/>
    <w:rsid w:val="00276C6D"/>
    <w:rsid w:val="0027703A"/>
    <w:rsid w:val="00281B32"/>
    <w:rsid w:val="00282CD5"/>
    <w:rsid w:val="002A3981"/>
    <w:rsid w:val="002E2CF5"/>
    <w:rsid w:val="0032174D"/>
    <w:rsid w:val="003343B3"/>
    <w:rsid w:val="0033721A"/>
    <w:rsid w:val="00347A1D"/>
    <w:rsid w:val="003615D8"/>
    <w:rsid w:val="00361A84"/>
    <w:rsid w:val="003B7C84"/>
    <w:rsid w:val="003D62CD"/>
    <w:rsid w:val="003E1074"/>
    <w:rsid w:val="003E6875"/>
    <w:rsid w:val="00413ACA"/>
    <w:rsid w:val="00416A61"/>
    <w:rsid w:val="00453E57"/>
    <w:rsid w:val="00481880"/>
    <w:rsid w:val="005045A6"/>
    <w:rsid w:val="00510FE8"/>
    <w:rsid w:val="005542BF"/>
    <w:rsid w:val="005743BD"/>
    <w:rsid w:val="00595A19"/>
    <w:rsid w:val="005961B2"/>
    <w:rsid w:val="00596A4E"/>
    <w:rsid w:val="005A2722"/>
    <w:rsid w:val="005A770F"/>
    <w:rsid w:val="005B4A73"/>
    <w:rsid w:val="005C404C"/>
    <w:rsid w:val="005E4733"/>
    <w:rsid w:val="005E56FE"/>
    <w:rsid w:val="005F4AA7"/>
    <w:rsid w:val="00602709"/>
    <w:rsid w:val="00602DA2"/>
    <w:rsid w:val="006035D9"/>
    <w:rsid w:val="0060378A"/>
    <w:rsid w:val="0061065B"/>
    <w:rsid w:val="00611C5F"/>
    <w:rsid w:val="0061304E"/>
    <w:rsid w:val="00623C8C"/>
    <w:rsid w:val="00664F61"/>
    <w:rsid w:val="0067271B"/>
    <w:rsid w:val="006C2886"/>
    <w:rsid w:val="006F2BB5"/>
    <w:rsid w:val="00703ABC"/>
    <w:rsid w:val="007A5A04"/>
    <w:rsid w:val="007B5761"/>
    <w:rsid w:val="007E5F1C"/>
    <w:rsid w:val="007F205A"/>
    <w:rsid w:val="007F3219"/>
    <w:rsid w:val="00841307"/>
    <w:rsid w:val="00854566"/>
    <w:rsid w:val="00865B72"/>
    <w:rsid w:val="00875327"/>
    <w:rsid w:val="008804D3"/>
    <w:rsid w:val="008B2CBC"/>
    <w:rsid w:val="00907C89"/>
    <w:rsid w:val="009123E4"/>
    <w:rsid w:val="00917278"/>
    <w:rsid w:val="00931B09"/>
    <w:rsid w:val="00951B1F"/>
    <w:rsid w:val="00973F3F"/>
    <w:rsid w:val="00982175"/>
    <w:rsid w:val="009A25C5"/>
    <w:rsid w:val="009A2FD6"/>
    <w:rsid w:val="009F5001"/>
    <w:rsid w:val="009F7C51"/>
    <w:rsid w:val="00A11E40"/>
    <w:rsid w:val="00A12A59"/>
    <w:rsid w:val="00A2448F"/>
    <w:rsid w:val="00A26FE9"/>
    <w:rsid w:val="00A42F3C"/>
    <w:rsid w:val="00A72626"/>
    <w:rsid w:val="00A959E8"/>
    <w:rsid w:val="00AB2860"/>
    <w:rsid w:val="00AB52E2"/>
    <w:rsid w:val="00AE25A2"/>
    <w:rsid w:val="00AE6C3F"/>
    <w:rsid w:val="00B14D67"/>
    <w:rsid w:val="00B24F3D"/>
    <w:rsid w:val="00B27FEB"/>
    <w:rsid w:val="00B305C1"/>
    <w:rsid w:val="00B35D56"/>
    <w:rsid w:val="00B4464F"/>
    <w:rsid w:val="00B55875"/>
    <w:rsid w:val="00B66003"/>
    <w:rsid w:val="00B74F2C"/>
    <w:rsid w:val="00B84887"/>
    <w:rsid w:val="00BA3BF1"/>
    <w:rsid w:val="00BE49CB"/>
    <w:rsid w:val="00C21442"/>
    <w:rsid w:val="00C238FA"/>
    <w:rsid w:val="00C25515"/>
    <w:rsid w:val="00C87520"/>
    <w:rsid w:val="00C90586"/>
    <w:rsid w:val="00CE7898"/>
    <w:rsid w:val="00CE7B5A"/>
    <w:rsid w:val="00CF1C4A"/>
    <w:rsid w:val="00D22838"/>
    <w:rsid w:val="00D9085A"/>
    <w:rsid w:val="00DA7248"/>
    <w:rsid w:val="00DB5570"/>
    <w:rsid w:val="00DC3FDC"/>
    <w:rsid w:val="00DD66F0"/>
    <w:rsid w:val="00DF41BE"/>
    <w:rsid w:val="00E027CF"/>
    <w:rsid w:val="00E171BE"/>
    <w:rsid w:val="00E20A26"/>
    <w:rsid w:val="00E740E1"/>
    <w:rsid w:val="00E93D13"/>
    <w:rsid w:val="00EA723B"/>
    <w:rsid w:val="00EB7A81"/>
    <w:rsid w:val="00EC1F3D"/>
    <w:rsid w:val="00F401A5"/>
    <w:rsid w:val="00F476DC"/>
    <w:rsid w:val="00F52FAC"/>
    <w:rsid w:val="00F57496"/>
    <w:rsid w:val="00F823D9"/>
    <w:rsid w:val="00FB096C"/>
    <w:rsid w:val="00FC0304"/>
    <w:rsid w:val="00FE3363"/>
    <w:rsid w:val="00FE4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AA1EB"/>
  <w15:chartTrackingRefBased/>
  <w15:docId w15:val="{53047B20-888E-42E6-AEB7-74A0BFA6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FED"/>
    <w:rPr>
      <w:color w:val="0563C1" w:themeColor="hyperlink"/>
      <w:u w:val="single"/>
    </w:rPr>
  </w:style>
  <w:style w:type="character" w:styleId="UnresolvedMention">
    <w:name w:val="Unresolved Mention"/>
    <w:basedOn w:val="DefaultParagraphFont"/>
    <w:uiPriority w:val="99"/>
    <w:semiHidden/>
    <w:unhideWhenUsed/>
    <w:rsid w:val="000C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wec.net/wp-content/uploads/2023/04/GWEC-2023_interacti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Cecere</dc:creator>
  <cp:keywords/>
  <dc:description/>
  <cp:lastModifiedBy>Cathy Cecere</cp:lastModifiedBy>
  <cp:revision>142</cp:revision>
  <dcterms:created xsi:type="dcterms:W3CDTF">2023-11-07T14:03:00Z</dcterms:created>
  <dcterms:modified xsi:type="dcterms:W3CDTF">2023-11-07T18:52:00Z</dcterms:modified>
</cp:coreProperties>
</file>