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BF7C" w14:textId="556B01FD" w:rsidR="00ED6A64" w:rsidRPr="00A8789B" w:rsidRDefault="00DC22C0" w:rsidP="00DD62B7">
      <w:pPr>
        <w:rPr>
          <w:b/>
          <w:sz w:val="24"/>
          <w:szCs w:val="24"/>
        </w:rPr>
      </w:pPr>
      <w:r w:rsidRPr="00A8789B">
        <w:rPr>
          <w:b/>
          <w:sz w:val="24"/>
          <w:szCs w:val="24"/>
        </w:rPr>
        <w:t>TEC DEVELOPMENT FUND PROCESS GUIDELINES</w:t>
      </w:r>
    </w:p>
    <w:p w14:paraId="57BAE5CB" w14:textId="77777777" w:rsidR="00DD62B7" w:rsidRPr="00A8789B" w:rsidRDefault="00DD62B7" w:rsidP="00DD62B7">
      <w:pPr>
        <w:pStyle w:val="Heading1"/>
        <w:rPr>
          <w:sz w:val="22"/>
          <w:szCs w:val="22"/>
        </w:rPr>
      </w:pPr>
      <w:r w:rsidRPr="00A8789B">
        <w:rPr>
          <w:sz w:val="22"/>
          <w:szCs w:val="22"/>
        </w:rPr>
        <w:t>Purpose</w:t>
      </w:r>
    </w:p>
    <w:p w14:paraId="4C955478" w14:textId="103E82FC" w:rsidR="00996FBC" w:rsidRPr="00A8789B" w:rsidRDefault="00ED6A64" w:rsidP="00DD62B7">
      <w:r w:rsidRPr="00A8789B">
        <w:t xml:space="preserve">The TEC Development Fund is intended to </w:t>
      </w:r>
      <w:r w:rsidR="00996FBC" w:rsidRPr="00A8789B">
        <w:t xml:space="preserve">assist with the creation of </w:t>
      </w:r>
      <w:r w:rsidRPr="00A8789B">
        <w:t>new</w:t>
      </w:r>
      <w:r w:rsidR="00996FBC" w:rsidRPr="00A8789B">
        <w:t xml:space="preserve">, sustainable </w:t>
      </w:r>
      <w:r w:rsidRPr="00A8789B">
        <w:t xml:space="preserve">initiatives </w:t>
      </w:r>
      <w:r w:rsidR="00996FBC" w:rsidRPr="00A8789B">
        <w:t xml:space="preserve">within and without of the current strategic technologies as well as the </w:t>
      </w:r>
      <w:r w:rsidRPr="00A8789B">
        <w:t xml:space="preserve">adoption of common conference elements by </w:t>
      </w:r>
      <w:r w:rsidR="00996FBC" w:rsidRPr="00A8789B">
        <w:t xml:space="preserve">the TEC Sector, its </w:t>
      </w:r>
      <w:r w:rsidR="009651E7" w:rsidRPr="00A8789B">
        <w:t>Technology Groups</w:t>
      </w:r>
      <w:r w:rsidR="00996FBC" w:rsidRPr="00A8789B">
        <w:t xml:space="preserve">, and the </w:t>
      </w:r>
      <w:r w:rsidRPr="00A8789B">
        <w:t xml:space="preserve">Technical Divisions.  </w:t>
      </w:r>
    </w:p>
    <w:p w14:paraId="18622445" w14:textId="6C4D725D" w:rsidR="00996FBC" w:rsidRPr="00A8789B" w:rsidRDefault="00996FBC" w:rsidP="00DD62B7">
      <w:r w:rsidRPr="00A8789B">
        <w:t>The current strategic technologies are:</w:t>
      </w:r>
    </w:p>
    <w:p w14:paraId="2F84BE03" w14:textId="77777777" w:rsidR="00996FBC" w:rsidRPr="00A8789B" w:rsidRDefault="00996FBC" w:rsidP="00996FBC">
      <w:pPr>
        <w:pStyle w:val="ListParagraph"/>
        <w:numPr>
          <w:ilvl w:val="0"/>
          <w:numId w:val="33"/>
        </w:numPr>
      </w:pPr>
      <w:r w:rsidRPr="00A8789B">
        <w:t>Robotics</w:t>
      </w:r>
    </w:p>
    <w:p w14:paraId="1D743F3C" w14:textId="77777777" w:rsidR="00996FBC" w:rsidRPr="00A8789B" w:rsidRDefault="00996FBC" w:rsidP="00996FBC">
      <w:pPr>
        <w:pStyle w:val="ListParagraph"/>
        <w:numPr>
          <w:ilvl w:val="0"/>
          <w:numId w:val="33"/>
        </w:numPr>
      </w:pPr>
      <w:r w:rsidRPr="00A8789B">
        <w:t>Bioengineering</w:t>
      </w:r>
    </w:p>
    <w:p w14:paraId="1480A82E" w14:textId="77777777" w:rsidR="00996FBC" w:rsidRPr="00A8789B" w:rsidRDefault="00996FBC" w:rsidP="00996FBC">
      <w:pPr>
        <w:pStyle w:val="ListParagraph"/>
        <w:numPr>
          <w:ilvl w:val="0"/>
          <w:numId w:val="33"/>
        </w:numPr>
      </w:pPr>
      <w:r w:rsidRPr="00A8789B">
        <w:t>Clean Energy</w:t>
      </w:r>
    </w:p>
    <w:p w14:paraId="4993793C" w14:textId="77777777" w:rsidR="00996FBC" w:rsidRPr="00A8789B" w:rsidRDefault="00996FBC" w:rsidP="00996FBC">
      <w:pPr>
        <w:pStyle w:val="ListParagraph"/>
        <w:numPr>
          <w:ilvl w:val="0"/>
          <w:numId w:val="33"/>
        </w:numPr>
      </w:pPr>
      <w:r w:rsidRPr="00A8789B">
        <w:t>Manufacturing</w:t>
      </w:r>
    </w:p>
    <w:p w14:paraId="72294B86" w14:textId="478EBA72" w:rsidR="00996FBC" w:rsidRPr="00A8789B" w:rsidRDefault="00996FBC" w:rsidP="00996FBC">
      <w:pPr>
        <w:pStyle w:val="ListParagraph"/>
        <w:numPr>
          <w:ilvl w:val="0"/>
          <w:numId w:val="33"/>
        </w:numPr>
      </w:pPr>
      <w:r w:rsidRPr="00A8789B">
        <w:t>Pressure Technology</w:t>
      </w:r>
    </w:p>
    <w:p w14:paraId="380E6F78" w14:textId="5A581966" w:rsidR="00ED6A64" w:rsidRPr="00A8789B" w:rsidRDefault="00996FBC" w:rsidP="00DD62B7">
      <w:r w:rsidRPr="00A8789B">
        <w:t>Our c</w:t>
      </w:r>
      <w:r w:rsidR="00ED6A64" w:rsidRPr="00A8789B">
        <w:t xml:space="preserve">ommon </w:t>
      </w:r>
      <w:r w:rsidRPr="00A8789B">
        <w:t xml:space="preserve">conference </w:t>
      </w:r>
      <w:r w:rsidR="00ED6A64" w:rsidRPr="00A8789B">
        <w:t>elements include:</w:t>
      </w:r>
    </w:p>
    <w:p w14:paraId="1CD71674" w14:textId="4933ABDA" w:rsidR="00ED6A64" w:rsidRPr="00A8789B" w:rsidRDefault="009651E7" w:rsidP="00A03FC5">
      <w:pPr>
        <w:pStyle w:val="ListParagraph"/>
        <w:numPr>
          <w:ilvl w:val="0"/>
          <w:numId w:val="29"/>
        </w:numPr>
      </w:pPr>
      <w:r w:rsidRPr="00A8789B">
        <w:t>ASME Strategic Technologies</w:t>
      </w:r>
    </w:p>
    <w:p w14:paraId="02851B0A" w14:textId="5E54ADC6" w:rsidR="00ED6A64" w:rsidRPr="00A8789B" w:rsidRDefault="009651E7" w:rsidP="00A03FC5">
      <w:pPr>
        <w:pStyle w:val="ListParagraph"/>
        <w:numPr>
          <w:ilvl w:val="0"/>
          <w:numId w:val="29"/>
        </w:numPr>
      </w:pPr>
      <w:r w:rsidRPr="00A8789B">
        <w:t>Student/</w:t>
      </w:r>
      <w:r w:rsidR="00ED6A64" w:rsidRPr="00A8789B">
        <w:t xml:space="preserve">Early career </w:t>
      </w:r>
      <w:r w:rsidRPr="00A8789B">
        <w:t>Activity</w:t>
      </w:r>
    </w:p>
    <w:p w14:paraId="476AF944" w14:textId="719B6E20" w:rsidR="00ED6A64" w:rsidRPr="00A8789B" w:rsidRDefault="009651E7" w:rsidP="00A03FC5">
      <w:pPr>
        <w:pStyle w:val="ListParagraph"/>
        <w:numPr>
          <w:ilvl w:val="0"/>
          <w:numId w:val="29"/>
        </w:numPr>
      </w:pPr>
      <w:r w:rsidRPr="00A8789B">
        <w:t>Public Policy</w:t>
      </w:r>
    </w:p>
    <w:p w14:paraId="6DE98D1B" w14:textId="72DCC2B9" w:rsidR="00ED6A64" w:rsidRPr="00A8789B" w:rsidRDefault="009651E7" w:rsidP="00A03FC5">
      <w:pPr>
        <w:pStyle w:val="ListParagraph"/>
        <w:numPr>
          <w:ilvl w:val="0"/>
          <w:numId w:val="29"/>
        </w:numPr>
      </w:pPr>
      <w:r w:rsidRPr="00A8789B">
        <w:t>Standards and Certifications</w:t>
      </w:r>
    </w:p>
    <w:p w14:paraId="31B49182" w14:textId="5F1F9AA8" w:rsidR="009651E7" w:rsidRPr="00A8789B" w:rsidRDefault="009651E7" w:rsidP="009651E7">
      <w:pPr>
        <w:pStyle w:val="ListParagraph"/>
        <w:numPr>
          <w:ilvl w:val="0"/>
          <w:numId w:val="29"/>
        </w:numPr>
        <w:rPr>
          <w:rFonts w:eastAsiaTheme="minorHAnsi"/>
        </w:rPr>
      </w:pPr>
      <w:r w:rsidRPr="00A8789B">
        <w:t>Diversity</w:t>
      </w:r>
      <w:r w:rsidR="00CE2C96">
        <w:t>, Equity</w:t>
      </w:r>
      <w:r w:rsidRPr="00A8789B">
        <w:t xml:space="preserve"> &amp; Inclusion </w:t>
      </w:r>
    </w:p>
    <w:p w14:paraId="3BC120C9" w14:textId="36AD9D51" w:rsidR="009651E7" w:rsidRPr="00A8789B" w:rsidRDefault="009651E7" w:rsidP="009651E7">
      <w:pPr>
        <w:pStyle w:val="ListParagraph"/>
        <w:numPr>
          <w:ilvl w:val="0"/>
          <w:numId w:val="29"/>
        </w:numPr>
      </w:pPr>
      <w:r w:rsidRPr="00A8789B">
        <w:t>Local Participation - Regional Section and Student Section operations</w:t>
      </w:r>
    </w:p>
    <w:p w14:paraId="1E5DC231" w14:textId="77777777" w:rsidR="00DD62B7" w:rsidRPr="00A8789B" w:rsidRDefault="00DD62B7" w:rsidP="00DD62B7">
      <w:pPr>
        <w:pStyle w:val="Heading1"/>
        <w:rPr>
          <w:sz w:val="22"/>
          <w:szCs w:val="22"/>
        </w:rPr>
      </w:pPr>
      <w:r w:rsidRPr="00A8789B">
        <w:rPr>
          <w:sz w:val="22"/>
          <w:szCs w:val="22"/>
        </w:rPr>
        <w:t>Process Overview</w:t>
      </w:r>
    </w:p>
    <w:p w14:paraId="0DEFA400" w14:textId="3273EDA3" w:rsidR="00ED6A64" w:rsidRDefault="00996FBC" w:rsidP="00DD62B7">
      <w:r w:rsidRPr="00A8789B">
        <w:t xml:space="preserve">The </w:t>
      </w:r>
      <w:r w:rsidR="00E21F26" w:rsidRPr="00A8789B">
        <w:t xml:space="preserve">ASME Board of Governors approved development dollars to be managed by the TEC Sector in a TEC Development Fund. The </w:t>
      </w:r>
      <w:r w:rsidR="00ED6A64" w:rsidRPr="00A8789B">
        <w:t>TEC</w:t>
      </w:r>
      <w:r w:rsidR="002B469A" w:rsidRPr="00A8789B">
        <w:t xml:space="preserve"> Sector</w:t>
      </w:r>
      <w:r w:rsidR="00ED6A64" w:rsidRPr="00A8789B">
        <w:t xml:space="preserve"> Council</w:t>
      </w:r>
      <w:r w:rsidR="004C52B8">
        <w:t xml:space="preserve"> and</w:t>
      </w:r>
      <w:r w:rsidR="00ED6A64" w:rsidRPr="00A8789B">
        <w:t xml:space="preserve"> </w:t>
      </w:r>
      <w:r w:rsidRPr="00A8789B">
        <w:t xml:space="preserve">its </w:t>
      </w:r>
      <w:r w:rsidR="009651E7" w:rsidRPr="00A8789B">
        <w:t xml:space="preserve">Members at Large </w:t>
      </w:r>
      <w:r w:rsidR="002B469A" w:rsidRPr="00A8789B">
        <w:t>h</w:t>
      </w:r>
      <w:r w:rsidRPr="00A8789B">
        <w:t>ave</w:t>
      </w:r>
      <w:r w:rsidR="002B469A" w:rsidRPr="00A8789B">
        <w:t xml:space="preserve"> responsibility for </w:t>
      </w:r>
      <w:r w:rsidRPr="00A8789B">
        <w:t xml:space="preserve">the </w:t>
      </w:r>
      <w:r w:rsidR="00DD62B7" w:rsidRPr="00A8789B">
        <w:t xml:space="preserve">budgeting and </w:t>
      </w:r>
      <w:r w:rsidR="00E557F1" w:rsidRPr="00A8789B">
        <w:t>investment</w:t>
      </w:r>
      <w:r w:rsidR="00F65E2D" w:rsidRPr="00A8789B">
        <w:t>/allocation</w:t>
      </w:r>
      <w:r w:rsidR="00DD62B7" w:rsidRPr="00A8789B">
        <w:t xml:space="preserve"> of the TEC Development Fund.  Proposals will be solicited </w:t>
      </w:r>
      <w:r w:rsidR="00ED6A64" w:rsidRPr="00A8789B">
        <w:t xml:space="preserve">annually from </w:t>
      </w:r>
      <w:r w:rsidR="002B469A" w:rsidRPr="00A8789B">
        <w:t xml:space="preserve">ASME </w:t>
      </w:r>
      <w:r w:rsidR="004E170E">
        <w:t xml:space="preserve">Technology Groups, </w:t>
      </w:r>
      <w:r w:rsidR="00ED6A64" w:rsidRPr="00A8789B">
        <w:t>Technical Divisions</w:t>
      </w:r>
      <w:r w:rsidR="00E21F26" w:rsidRPr="00A8789B">
        <w:t xml:space="preserve"> and Research Committees</w:t>
      </w:r>
      <w:r w:rsidR="00ED6A64" w:rsidRPr="00A8789B">
        <w:t xml:space="preserve"> </w:t>
      </w:r>
      <w:r w:rsidR="00DD62B7" w:rsidRPr="00A8789B">
        <w:t xml:space="preserve">for </w:t>
      </w:r>
      <w:r w:rsidR="00ED6A64" w:rsidRPr="00A8789B">
        <w:t xml:space="preserve">review and award selection by </w:t>
      </w:r>
      <w:r w:rsidR="00DD62B7" w:rsidRPr="00A8789B">
        <w:t xml:space="preserve">the </w:t>
      </w:r>
      <w:r w:rsidR="00ED6A64" w:rsidRPr="00A8789B">
        <w:t>TEC Council.</w:t>
      </w:r>
      <w:r w:rsidR="00DD62B7" w:rsidRPr="00A8789B">
        <w:t xml:space="preserve">  Technical Division</w:t>
      </w:r>
      <w:r w:rsidR="00E21F26" w:rsidRPr="00A8789B">
        <w:t xml:space="preserve">s and Research Committees </w:t>
      </w:r>
      <w:r w:rsidR="002B469A" w:rsidRPr="00A8789B">
        <w:t xml:space="preserve">are shown </w:t>
      </w:r>
      <w:r w:rsidR="00DD62B7" w:rsidRPr="00A8789B">
        <w:t xml:space="preserve">in </w:t>
      </w:r>
      <w:r w:rsidR="00BC0727" w:rsidRPr="00A8789B">
        <w:fldChar w:fldCharType="begin"/>
      </w:r>
      <w:r w:rsidR="00BC0727" w:rsidRPr="00A8789B">
        <w:instrText xml:space="preserve"> REF _Ref508108909 \h  \* MERGEFORMAT </w:instrText>
      </w:r>
      <w:r w:rsidR="00BC0727" w:rsidRPr="00A8789B">
        <w:fldChar w:fldCharType="separate"/>
      </w:r>
      <w:r w:rsidR="00BC0727" w:rsidRPr="00A8789B">
        <w:t xml:space="preserve">Table </w:t>
      </w:r>
      <w:r w:rsidR="009E45DC" w:rsidRPr="00A8789B">
        <w:rPr>
          <w:noProof/>
        </w:rPr>
        <w:t>2</w:t>
      </w:r>
      <w:r w:rsidR="00BC0727" w:rsidRPr="00A8789B">
        <w:noBreakHyphen/>
      </w:r>
      <w:r w:rsidR="00BC0727" w:rsidRPr="00A8789B">
        <w:rPr>
          <w:noProof/>
        </w:rPr>
        <w:t>1</w:t>
      </w:r>
      <w:r w:rsidR="00BC0727" w:rsidRPr="00A8789B">
        <w:fldChar w:fldCharType="end"/>
      </w:r>
      <w:r w:rsidR="002B469A" w:rsidRPr="00A8789B">
        <w:t>.</w:t>
      </w:r>
    </w:p>
    <w:p w14:paraId="3D735171" w14:textId="396E27F1" w:rsidR="00BC0727" w:rsidRDefault="00BC0727" w:rsidP="00BC0727">
      <w:pPr>
        <w:pStyle w:val="Caption"/>
        <w:spacing w:before="240" w:after="120"/>
        <w:jc w:val="center"/>
        <w:rPr>
          <w:color w:val="auto"/>
          <w:sz w:val="22"/>
          <w:szCs w:val="22"/>
        </w:rPr>
      </w:pPr>
      <w:bookmarkStart w:id="0" w:name="_Ref508108909"/>
      <w:r w:rsidRPr="00A8789B">
        <w:rPr>
          <w:color w:val="auto"/>
          <w:sz w:val="22"/>
          <w:szCs w:val="22"/>
        </w:rPr>
        <w:t xml:space="preserve">Table </w:t>
      </w:r>
      <w:r w:rsidR="009E45DC" w:rsidRPr="00A8789B">
        <w:rPr>
          <w:color w:val="auto"/>
          <w:sz w:val="22"/>
          <w:szCs w:val="22"/>
        </w:rPr>
        <w:t>2</w:t>
      </w:r>
      <w:r w:rsidR="001502BE" w:rsidRPr="00A8789B">
        <w:rPr>
          <w:color w:val="auto"/>
          <w:sz w:val="22"/>
          <w:szCs w:val="22"/>
        </w:rPr>
        <w:noBreakHyphen/>
      </w:r>
      <w:r w:rsidR="001502BE" w:rsidRPr="00A8789B">
        <w:rPr>
          <w:color w:val="auto"/>
          <w:sz w:val="22"/>
          <w:szCs w:val="22"/>
        </w:rPr>
        <w:fldChar w:fldCharType="begin"/>
      </w:r>
      <w:r w:rsidR="001502BE" w:rsidRPr="00A8789B">
        <w:rPr>
          <w:color w:val="auto"/>
          <w:sz w:val="22"/>
          <w:szCs w:val="22"/>
        </w:rPr>
        <w:instrText xml:space="preserve"> SEQ Table \* ARABIC \s 1 </w:instrText>
      </w:r>
      <w:r w:rsidR="001502BE" w:rsidRPr="00A8789B">
        <w:rPr>
          <w:color w:val="auto"/>
          <w:sz w:val="22"/>
          <w:szCs w:val="22"/>
        </w:rPr>
        <w:fldChar w:fldCharType="separate"/>
      </w:r>
      <w:r w:rsidR="001502BE" w:rsidRPr="00A8789B">
        <w:rPr>
          <w:noProof/>
          <w:color w:val="auto"/>
          <w:sz w:val="22"/>
          <w:szCs w:val="22"/>
        </w:rPr>
        <w:t>1</w:t>
      </w:r>
      <w:r w:rsidR="001502BE" w:rsidRPr="00A8789B">
        <w:rPr>
          <w:color w:val="auto"/>
          <w:sz w:val="22"/>
          <w:szCs w:val="22"/>
        </w:rPr>
        <w:fldChar w:fldCharType="end"/>
      </w:r>
      <w:bookmarkEnd w:id="0"/>
      <w:r w:rsidRPr="00A8789B">
        <w:rPr>
          <w:color w:val="auto"/>
          <w:sz w:val="22"/>
          <w:szCs w:val="22"/>
        </w:rPr>
        <w:t xml:space="preserve"> – Technical Division</w:t>
      </w:r>
      <w:r w:rsidR="00E21F26" w:rsidRPr="00A8789B">
        <w:rPr>
          <w:color w:val="auto"/>
          <w:sz w:val="22"/>
          <w:szCs w:val="22"/>
        </w:rPr>
        <w:t>s and Research Committees</w:t>
      </w:r>
    </w:p>
    <w:p w14:paraId="5E3066D5" w14:textId="4C1D0D1F" w:rsidR="00223924" w:rsidRPr="00223924" w:rsidRDefault="00223924" w:rsidP="00223924">
      <w:r w:rsidRPr="00223924">
        <w:rPr>
          <w:noProof/>
        </w:rPr>
        <w:drawing>
          <wp:inline distT="0" distB="0" distL="0" distR="0" wp14:anchorId="33A8826C" wp14:editId="06BCB5D4">
            <wp:extent cx="6858000" cy="273694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3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E33CA" w14:textId="77777777" w:rsidR="002B469A" w:rsidRPr="00A8789B" w:rsidRDefault="0048018D" w:rsidP="0010442F">
      <w:pPr>
        <w:pStyle w:val="Heading1"/>
        <w:pageBreakBefore/>
        <w:rPr>
          <w:sz w:val="22"/>
          <w:szCs w:val="22"/>
        </w:rPr>
      </w:pPr>
      <w:r w:rsidRPr="00A8789B">
        <w:rPr>
          <w:sz w:val="22"/>
          <w:szCs w:val="22"/>
        </w:rPr>
        <w:lastRenderedPageBreak/>
        <w:t>Proposal Guidelines</w:t>
      </w:r>
    </w:p>
    <w:p w14:paraId="0535B0F1" w14:textId="77777777" w:rsidR="009F61D9" w:rsidRPr="00A8789B" w:rsidRDefault="009F61D9" w:rsidP="009F61D9">
      <w:pPr>
        <w:pStyle w:val="Heading2"/>
        <w:rPr>
          <w:szCs w:val="22"/>
        </w:rPr>
      </w:pPr>
      <w:r w:rsidRPr="00A8789B">
        <w:rPr>
          <w:szCs w:val="22"/>
        </w:rPr>
        <w:t>Proposal Content</w:t>
      </w:r>
    </w:p>
    <w:p w14:paraId="77D1B7E2" w14:textId="2ACD0846" w:rsidR="008A5596" w:rsidRDefault="008A5596" w:rsidP="009F61D9">
      <w:pPr>
        <w:ind w:left="360"/>
      </w:pPr>
      <w:r w:rsidRPr="00A8789B">
        <w:t>Proposals should include the following minimum content:</w:t>
      </w:r>
    </w:p>
    <w:p w14:paraId="0146F9A8" w14:textId="77777777" w:rsidR="00223924" w:rsidRDefault="00223924" w:rsidP="00223924">
      <w:pPr>
        <w:spacing w:before="0"/>
        <w:ind w:left="360"/>
      </w:pPr>
    </w:p>
    <w:p w14:paraId="27FAD72E" w14:textId="77777777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 xml:space="preserve">Proposal Title  </w:t>
      </w:r>
    </w:p>
    <w:p w14:paraId="5D1DBCDA" w14:textId="77777777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>Date of Submittal</w:t>
      </w:r>
    </w:p>
    <w:p w14:paraId="58E2D96D" w14:textId="77777777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>Contact Information for Initiator</w:t>
      </w:r>
    </w:p>
    <w:p w14:paraId="11BC0976" w14:textId="3ED78CC1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 xml:space="preserve">Sponsoring Technical Division(s) </w:t>
      </w:r>
      <w:r w:rsidR="004D156E">
        <w:t>and/</w:t>
      </w:r>
      <w:r w:rsidR="00875613" w:rsidRPr="00A8789B">
        <w:t xml:space="preserve">or </w:t>
      </w:r>
      <w:r w:rsidR="004D156E">
        <w:t xml:space="preserve">affiliated </w:t>
      </w:r>
      <w:r w:rsidR="00875613" w:rsidRPr="00A8789B">
        <w:t>Technology Group(s)</w:t>
      </w:r>
    </w:p>
    <w:p w14:paraId="75C3A5B1" w14:textId="77777777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>Description of Proposed Initiative</w:t>
      </w:r>
    </w:p>
    <w:p w14:paraId="6DB86F7C" w14:textId="0A5A768C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>Total Revenues and Expenses budgeted</w:t>
      </w:r>
      <w:r w:rsidR="00695171">
        <w:t xml:space="preserve"> </w:t>
      </w:r>
      <w:r w:rsidR="00127E5F" w:rsidRPr="00C262CD">
        <w:rPr>
          <w:bCs/>
        </w:rPr>
        <w:t>(Include estimates for first three years</w:t>
      </w:r>
      <w:bookmarkStart w:id="1" w:name="_Hlk67985631"/>
      <w:r w:rsidR="00695171">
        <w:rPr>
          <w:bCs/>
        </w:rPr>
        <w:t xml:space="preserve"> of program – include historical information if appropriate</w:t>
      </w:r>
      <w:bookmarkEnd w:id="1"/>
      <w:r w:rsidR="00127E5F" w:rsidRPr="00C262CD">
        <w:rPr>
          <w:bCs/>
        </w:rPr>
        <w:t>)</w:t>
      </w:r>
    </w:p>
    <w:p w14:paraId="5799CF5F" w14:textId="3D9B5536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>Requested Funding Amount</w:t>
      </w:r>
      <w:r w:rsidR="00274487">
        <w:t xml:space="preserve"> </w:t>
      </w:r>
      <w:r w:rsidR="00274487" w:rsidRPr="00D50753">
        <w:rPr>
          <w:bCs/>
        </w:rPr>
        <w:t xml:space="preserve">(Include </w:t>
      </w:r>
      <w:r w:rsidR="00FB5279">
        <w:rPr>
          <w:bCs/>
        </w:rPr>
        <w:t>amount requested from TEC Fund</w:t>
      </w:r>
      <w:r w:rsidR="00AD52F3">
        <w:rPr>
          <w:bCs/>
        </w:rPr>
        <w:t xml:space="preserve"> and any funds being contributed by a Division</w:t>
      </w:r>
      <w:r w:rsidR="00695171" w:rsidRPr="00695171">
        <w:rPr>
          <w:bCs/>
        </w:rPr>
        <w:t xml:space="preserve"> if appropriate</w:t>
      </w:r>
      <w:r w:rsidR="00274487" w:rsidRPr="00D50753">
        <w:rPr>
          <w:bCs/>
        </w:rPr>
        <w:t>)</w:t>
      </w:r>
    </w:p>
    <w:p w14:paraId="42B55BEF" w14:textId="77777777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>Strategic Technologies Addressed</w:t>
      </w:r>
    </w:p>
    <w:p w14:paraId="4294B34B" w14:textId="77777777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>Common Conference Elements Addressed</w:t>
      </w:r>
    </w:p>
    <w:p w14:paraId="5DAF2B6C" w14:textId="04FAEB09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>Direct Return for ASME (Revenues, Sustainability, etc.)</w:t>
      </w:r>
      <w:r w:rsidR="007138A8">
        <w:t xml:space="preserve"> </w:t>
      </w:r>
      <w:r w:rsidR="007138A8" w:rsidRPr="007138A8">
        <w:t>and Include funding estimates for the first three years of program – provide historical information if appropriate</w:t>
      </w:r>
    </w:p>
    <w:p w14:paraId="2421ACA5" w14:textId="77777777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>Indirect Return for ASME (SROI, etc.)</w:t>
      </w:r>
    </w:p>
    <w:p w14:paraId="3AE90AB0" w14:textId="77777777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>Other Comments</w:t>
      </w:r>
    </w:p>
    <w:p w14:paraId="194BC620" w14:textId="68B40FAA" w:rsidR="009E45DC" w:rsidRPr="00A8789B" w:rsidRDefault="009E45DC" w:rsidP="009E45DC">
      <w:pPr>
        <w:pStyle w:val="NoSpacing"/>
        <w:numPr>
          <w:ilvl w:val="0"/>
          <w:numId w:val="34"/>
        </w:numPr>
      </w:pPr>
      <w:r w:rsidRPr="00A8789B">
        <w:t>Attachments (</w:t>
      </w:r>
      <w:r w:rsidR="004714AE">
        <w:t>include</w:t>
      </w:r>
      <w:r w:rsidRPr="00A8789B">
        <w:t xml:space="preserve"> a detailed budget)</w:t>
      </w:r>
      <w:r w:rsidR="00274487" w:rsidRPr="00274487">
        <w:rPr>
          <w:bCs/>
        </w:rPr>
        <w:t xml:space="preserve"> </w:t>
      </w:r>
      <w:r w:rsidR="004714AE">
        <w:rPr>
          <w:bCs/>
        </w:rPr>
        <w:t xml:space="preserve"> </w:t>
      </w:r>
    </w:p>
    <w:p w14:paraId="0C4C7D2D" w14:textId="4B1A40FA" w:rsidR="0063575D" w:rsidRPr="00A8789B" w:rsidRDefault="002041C7" w:rsidP="009F61D9">
      <w:pPr>
        <w:ind w:left="360"/>
      </w:pPr>
      <w:r>
        <w:t>A</w:t>
      </w:r>
      <w:r w:rsidR="0063575D" w:rsidRPr="00A8789B">
        <w:t xml:space="preserve"> proposal form is included as Attachment 1.</w:t>
      </w:r>
    </w:p>
    <w:p w14:paraId="6D6AD6ED" w14:textId="77777777" w:rsidR="009F61D9" w:rsidRPr="00A8789B" w:rsidRDefault="009F61D9" w:rsidP="009F61D9">
      <w:pPr>
        <w:pStyle w:val="Heading2"/>
        <w:rPr>
          <w:szCs w:val="22"/>
        </w:rPr>
      </w:pPr>
      <w:r w:rsidRPr="00A8789B">
        <w:rPr>
          <w:szCs w:val="22"/>
        </w:rPr>
        <w:t>Tips and Recommendations</w:t>
      </w:r>
    </w:p>
    <w:p w14:paraId="31CBDD1B" w14:textId="190FE852" w:rsidR="003E591E" w:rsidRDefault="000B15A9" w:rsidP="00A03FC5">
      <w:pPr>
        <w:pStyle w:val="ListParagraph"/>
        <w:numPr>
          <w:ilvl w:val="0"/>
          <w:numId w:val="28"/>
        </w:numPr>
      </w:pPr>
      <w:r>
        <w:t>It is important to work</w:t>
      </w:r>
      <w:r w:rsidR="003E591E">
        <w:t xml:space="preserve"> closely with your </w:t>
      </w:r>
      <w:r>
        <w:t>Staff Manager to create these applications</w:t>
      </w:r>
    </w:p>
    <w:p w14:paraId="36C4290D" w14:textId="2081E21B" w:rsidR="0048018D" w:rsidRPr="00A8789B" w:rsidRDefault="0048018D" w:rsidP="00A03FC5">
      <w:pPr>
        <w:pStyle w:val="ListParagraph"/>
        <w:numPr>
          <w:ilvl w:val="0"/>
          <w:numId w:val="28"/>
        </w:numPr>
      </w:pPr>
      <w:r w:rsidRPr="00A8789B">
        <w:t xml:space="preserve">Proposals should carry the endorsement of the corresponding Technical Division </w:t>
      </w:r>
      <w:r w:rsidR="00C9413A" w:rsidRPr="00A8789B">
        <w:t>E</w:t>
      </w:r>
      <w:r w:rsidRPr="00A8789B">
        <w:t xml:space="preserve">xecutive </w:t>
      </w:r>
      <w:r w:rsidR="00C9413A" w:rsidRPr="00A8789B">
        <w:t>C</w:t>
      </w:r>
      <w:r w:rsidRPr="00A8789B">
        <w:t>ommittee or associated conference committee</w:t>
      </w:r>
      <w:r w:rsidR="007371C8" w:rsidRPr="00A8789B">
        <w:t>,</w:t>
      </w:r>
      <w:r w:rsidR="004E170E">
        <w:t xml:space="preserve"> Research Committee </w:t>
      </w:r>
      <w:r w:rsidR="007371C8" w:rsidRPr="00A8789B">
        <w:t>or Technology Group</w:t>
      </w:r>
      <w:r w:rsidRPr="00A8789B">
        <w:t>.</w:t>
      </w:r>
    </w:p>
    <w:p w14:paraId="1E67A161" w14:textId="77777777" w:rsidR="00FE092C" w:rsidRPr="00A8789B" w:rsidRDefault="0048018D" w:rsidP="00A03FC5">
      <w:pPr>
        <w:pStyle w:val="ListParagraph"/>
        <w:numPr>
          <w:ilvl w:val="0"/>
          <w:numId w:val="28"/>
        </w:numPr>
      </w:pPr>
      <w:r w:rsidRPr="00A8789B">
        <w:t>Proposers are encourage</w:t>
      </w:r>
      <w:r w:rsidR="003363A1" w:rsidRPr="00A8789B">
        <w:t>d</w:t>
      </w:r>
      <w:r w:rsidRPr="00A8789B">
        <w:t xml:space="preserve"> to engage multiple Technical Divisions and/or Sectors</w:t>
      </w:r>
      <w:r w:rsidR="009F61D9" w:rsidRPr="00A8789B">
        <w:t>.</w:t>
      </w:r>
    </w:p>
    <w:p w14:paraId="08A6CEEC" w14:textId="493BA497" w:rsidR="0048018D" w:rsidRPr="00A8789B" w:rsidRDefault="00FE092C" w:rsidP="00A03FC5">
      <w:pPr>
        <w:pStyle w:val="ListParagraph"/>
        <w:numPr>
          <w:ilvl w:val="0"/>
          <w:numId w:val="28"/>
        </w:numPr>
      </w:pPr>
      <w:r w:rsidRPr="00A8789B">
        <w:t>Proposers are encouraged to incorporate programming by cross-</w:t>
      </w:r>
      <w:r w:rsidR="000B105D" w:rsidRPr="00A8789B">
        <w:t>cutting D</w:t>
      </w:r>
      <w:r w:rsidRPr="00A8789B">
        <w:t xml:space="preserve">ivisions (e.g., Management, </w:t>
      </w:r>
      <w:r w:rsidR="009F61D9" w:rsidRPr="00A8789B">
        <w:t>Safety Engineering &amp; Risk Analysis</w:t>
      </w:r>
      <w:r w:rsidRPr="00A8789B">
        <w:t xml:space="preserve">, and </w:t>
      </w:r>
      <w:r w:rsidR="00BC3F20">
        <w:t>Management Divisions</w:t>
      </w:r>
      <w:r w:rsidRPr="00A8789B">
        <w:t>)</w:t>
      </w:r>
      <w:r w:rsidR="009F61D9" w:rsidRPr="00A8789B">
        <w:t>.</w:t>
      </w:r>
    </w:p>
    <w:p w14:paraId="025CEE8F" w14:textId="77777777" w:rsidR="0063575D" w:rsidRPr="00A8789B" w:rsidRDefault="0063575D" w:rsidP="00A03FC5">
      <w:pPr>
        <w:pStyle w:val="ListParagraph"/>
        <w:numPr>
          <w:ilvl w:val="0"/>
          <w:numId w:val="28"/>
        </w:numPr>
      </w:pPr>
      <w:r w:rsidRPr="00A8789B">
        <w:t>Propos</w:t>
      </w:r>
      <w:r w:rsidR="003363A1" w:rsidRPr="00A8789B">
        <w:t>ers</w:t>
      </w:r>
      <w:r w:rsidRPr="00A8789B">
        <w:t xml:space="preserve"> </w:t>
      </w:r>
      <w:r w:rsidR="003363A1" w:rsidRPr="00A8789B">
        <w:t xml:space="preserve">are encouraged to include </w:t>
      </w:r>
      <w:r w:rsidRPr="00A8789B">
        <w:t xml:space="preserve">matching contributions from division </w:t>
      </w:r>
      <w:r w:rsidR="003363A1" w:rsidRPr="00A8789B">
        <w:t>segregated accounts to maximize the impact of the development funding</w:t>
      </w:r>
      <w:r w:rsidR="009F61D9" w:rsidRPr="00A8789B">
        <w:t>.</w:t>
      </w:r>
    </w:p>
    <w:p w14:paraId="4238879E" w14:textId="77777777" w:rsidR="009E730D" w:rsidRPr="00A8789B" w:rsidRDefault="009E730D" w:rsidP="00A03FC5">
      <w:pPr>
        <w:pStyle w:val="ListParagraph"/>
        <w:numPr>
          <w:ilvl w:val="0"/>
          <w:numId w:val="28"/>
        </w:numPr>
      </w:pPr>
      <w:r w:rsidRPr="00A8789B">
        <w:t>Proposals should demonstrate the likelihood for a direct or indirect return to ASME</w:t>
      </w:r>
      <w:r w:rsidR="009F61D9" w:rsidRPr="00A8789B">
        <w:t>.</w:t>
      </w:r>
    </w:p>
    <w:p w14:paraId="0DB77D90" w14:textId="157109DC" w:rsidR="001502BE" w:rsidRDefault="001502BE" w:rsidP="00A03FC5">
      <w:pPr>
        <w:pStyle w:val="ListParagraph"/>
        <w:numPr>
          <w:ilvl w:val="0"/>
          <w:numId w:val="28"/>
        </w:numPr>
      </w:pPr>
      <w:r w:rsidRPr="00A8789B">
        <w:t xml:space="preserve">Example evaluation criteria </w:t>
      </w:r>
      <w:r w:rsidR="009E730D" w:rsidRPr="00A8789B">
        <w:t xml:space="preserve">to be considered by TEC Sector Council </w:t>
      </w:r>
      <w:r w:rsidR="003363A1" w:rsidRPr="00A8789B">
        <w:t xml:space="preserve">is </w:t>
      </w:r>
      <w:r w:rsidRPr="00A8789B">
        <w:t xml:space="preserve">included in </w:t>
      </w:r>
      <w:r w:rsidR="009E730D" w:rsidRPr="00A8789B">
        <w:fldChar w:fldCharType="begin"/>
      </w:r>
      <w:r w:rsidR="009E730D" w:rsidRPr="00A8789B">
        <w:instrText xml:space="preserve"> REF _Ref508110207 \h </w:instrText>
      </w:r>
      <w:r w:rsidR="00A8789B" w:rsidRPr="00A8789B">
        <w:instrText xml:space="preserve"> \* MERGEFORMAT </w:instrText>
      </w:r>
      <w:r w:rsidR="009E730D" w:rsidRPr="00A8789B">
        <w:fldChar w:fldCharType="separate"/>
      </w:r>
      <w:r w:rsidR="009E730D" w:rsidRPr="00A8789B">
        <w:t xml:space="preserve">Table </w:t>
      </w:r>
      <w:r w:rsidR="009E45DC" w:rsidRPr="00A8789B">
        <w:t>3</w:t>
      </w:r>
      <w:r w:rsidR="009E730D" w:rsidRPr="00A8789B">
        <w:noBreakHyphen/>
        <w:t>1</w:t>
      </w:r>
      <w:r w:rsidR="009E730D" w:rsidRPr="00A8789B">
        <w:fldChar w:fldCharType="end"/>
      </w:r>
      <w:r w:rsidR="009E730D" w:rsidRPr="00A8789B">
        <w:t>.</w:t>
      </w:r>
    </w:p>
    <w:p w14:paraId="2C93FFFC" w14:textId="5E223B7D" w:rsidR="00D529C8" w:rsidRPr="00A8789B" w:rsidRDefault="00D529C8" w:rsidP="00A03FC5">
      <w:pPr>
        <w:pStyle w:val="ListParagraph"/>
        <w:numPr>
          <w:ilvl w:val="0"/>
          <w:numId w:val="28"/>
        </w:numPr>
      </w:pPr>
      <w:r>
        <w:t xml:space="preserve">Proposals should demonstrate diminishing need in long term for support </w:t>
      </w:r>
      <w:r w:rsidR="00F848D1">
        <w:t xml:space="preserve">and ability to be </w:t>
      </w:r>
      <w:r w:rsidR="00695171">
        <w:t>self-sustaining.</w:t>
      </w:r>
    </w:p>
    <w:p w14:paraId="5358BA87" w14:textId="3C8ED9AF" w:rsidR="001502BE" w:rsidRPr="00A8789B" w:rsidRDefault="001502BE" w:rsidP="001502BE">
      <w:pPr>
        <w:pStyle w:val="Caption"/>
        <w:spacing w:before="240" w:after="120"/>
        <w:jc w:val="center"/>
        <w:rPr>
          <w:color w:val="auto"/>
          <w:sz w:val="22"/>
          <w:szCs w:val="22"/>
        </w:rPr>
      </w:pPr>
      <w:bookmarkStart w:id="2" w:name="_Ref508110207"/>
      <w:r w:rsidRPr="00A8789B">
        <w:rPr>
          <w:color w:val="auto"/>
          <w:sz w:val="22"/>
          <w:szCs w:val="22"/>
        </w:rPr>
        <w:t xml:space="preserve">Table </w:t>
      </w:r>
      <w:r w:rsidR="009E45DC" w:rsidRPr="00A8789B">
        <w:rPr>
          <w:color w:val="auto"/>
          <w:sz w:val="22"/>
          <w:szCs w:val="22"/>
        </w:rPr>
        <w:t>3</w:t>
      </w:r>
      <w:r w:rsidRPr="00A8789B">
        <w:rPr>
          <w:color w:val="auto"/>
          <w:sz w:val="22"/>
          <w:szCs w:val="22"/>
        </w:rPr>
        <w:noBreakHyphen/>
      </w:r>
      <w:r w:rsidRPr="00A8789B">
        <w:rPr>
          <w:color w:val="auto"/>
          <w:sz w:val="22"/>
          <w:szCs w:val="22"/>
        </w:rPr>
        <w:fldChar w:fldCharType="begin"/>
      </w:r>
      <w:r w:rsidRPr="00A8789B">
        <w:rPr>
          <w:color w:val="auto"/>
          <w:sz w:val="22"/>
          <w:szCs w:val="22"/>
        </w:rPr>
        <w:instrText xml:space="preserve"> SEQ Table \* ARABIC \s 1 </w:instrText>
      </w:r>
      <w:r w:rsidRPr="00A8789B">
        <w:rPr>
          <w:color w:val="auto"/>
          <w:sz w:val="22"/>
          <w:szCs w:val="22"/>
        </w:rPr>
        <w:fldChar w:fldCharType="separate"/>
      </w:r>
      <w:r w:rsidRPr="00A8789B">
        <w:rPr>
          <w:color w:val="auto"/>
          <w:sz w:val="22"/>
          <w:szCs w:val="22"/>
        </w:rPr>
        <w:t>1</w:t>
      </w:r>
      <w:r w:rsidRPr="00A8789B">
        <w:rPr>
          <w:color w:val="auto"/>
          <w:sz w:val="22"/>
          <w:szCs w:val="22"/>
        </w:rPr>
        <w:fldChar w:fldCharType="end"/>
      </w:r>
      <w:bookmarkEnd w:id="2"/>
      <w:r w:rsidRPr="00A8789B">
        <w:rPr>
          <w:color w:val="auto"/>
          <w:sz w:val="22"/>
          <w:szCs w:val="22"/>
        </w:rPr>
        <w:t xml:space="preserve"> – Example Proposal Evaluation Criteria</w:t>
      </w:r>
    </w:p>
    <w:tbl>
      <w:tblPr>
        <w:tblStyle w:val="GridTable6Colorful-Accent5"/>
        <w:tblW w:w="0" w:type="auto"/>
        <w:shd w:val="clear" w:color="auto" w:fill="D9E2F3" w:themeFill="accent5" w:themeFillTint="33"/>
        <w:tblLook w:val="0600" w:firstRow="0" w:lastRow="0" w:firstColumn="0" w:lastColumn="0" w:noHBand="1" w:noVBand="1"/>
      </w:tblPr>
      <w:tblGrid>
        <w:gridCol w:w="4675"/>
        <w:gridCol w:w="4675"/>
      </w:tblGrid>
      <w:tr w:rsidR="00A03FC5" w:rsidRPr="00A8789B" w14:paraId="401FB3CD" w14:textId="77777777" w:rsidTr="00A03FC5">
        <w:tc>
          <w:tcPr>
            <w:tcW w:w="467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D9E2F3" w:themeFill="accent5" w:themeFillTint="33"/>
          </w:tcPr>
          <w:p w14:paraId="0DF8B63F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Strategic Fit</w:t>
            </w:r>
          </w:p>
          <w:p w14:paraId="19744344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Market Need / Benefits to Customer</w:t>
            </w:r>
          </w:p>
          <w:p w14:paraId="1C4539E8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Target Market Size &amp; Growth Potential</w:t>
            </w:r>
          </w:p>
          <w:p w14:paraId="26CB4795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Level of Competition / Potential Competitive Advantage</w:t>
            </w:r>
          </w:p>
          <w:p w14:paraId="5F85F1D9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Potential Partnership Opportunities</w:t>
            </w:r>
          </w:p>
          <w:p w14:paraId="309C000E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Potential for Multiple Derivative Products</w:t>
            </w:r>
          </w:p>
          <w:p w14:paraId="6BBAD3FA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Investment / Cost of Entry</w:t>
            </w:r>
          </w:p>
          <w:p w14:paraId="7963152E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Relevancy to Existing Programs / Stakeholders</w:t>
            </w:r>
          </w:p>
          <w:p w14:paraId="69306D2F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Stakeholder Engagement Potential</w:t>
            </w:r>
          </w:p>
          <w:p w14:paraId="01D99E70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Access to constituents</w:t>
            </w:r>
          </w:p>
        </w:tc>
        <w:tc>
          <w:tcPr>
            <w:tcW w:w="4675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9E2F3" w:themeFill="accent5" w:themeFillTint="33"/>
          </w:tcPr>
          <w:p w14:paraId="149FD38E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Improve Branding</w:t>
            </w:r>
          </w:p>
          <w:p w14:paraId="5283B026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Positive Feedback from Industry</w:t>
            </w:r>
          </w:p>
          <w:p w14:paraId="2109902D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ASME Thought Leadership Potential</w:t>
            </w:r>
          </w:p>
          <w:p w14:paraId="06ECD72F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Global Adoption Potential</w:t>
            </w:r>
          </w:p>
          <w:p w14:paraId="4707C877" w14:textId="0B48C58A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Alignment with</w:t>
            </w:r>
            <w:r w:rsidR="00E21F26" w:rsidRPr="00A8789B">
              <w:rPr>
                <w:color w:val="auto"/>
              </w:rPr>
              <w:t xml:space="preserve"> Strategic Technologies</w:t>
            </w:r>
          </w:p>
          <w:p w14:paraId="10A26562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Ease of Product Development</w:t>
            </w:r>
          </w:p>
          <w:p w14:paraId="41182683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Development Time (Time-to-Market)</w:t>
            </w:r>
          </w:p>
          <w:p w14:paraId="568A351F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Profitability &amp; Rate-of-Return</w:t>
            </w:r>
          </w:p>
          <w:p w14:paraId="0F24D5AF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Risk</w:t>
            </w:r>
          </w:p>
          <w:p w14:paraId="132651E0" w14:textId="77777777" w:rsidR="001502BE" w:rsidRPr="00A8789B" w:rsidRDefault="001502BE" w:rsidP="009F61D9">
            <w:pPr>
              <w:pStyle w:val="ListParagraph"/>
              <w:numPr>
                <w:ilvl w:val="0"/>
                <w:numId w:val="21"/>
              </w:numPr>
              <w:tabs>
                <w:tab w:val="left" w:pos="247"/>
              </w:tabs>
              <w:spacing w:before="60"/>
              <w:ind w:left="259" w:hanging="187"/>
              <w:contextualSpacing w:val="0"/>
              <w:rPr>
                <w:color w:val="auto"/>
              </w:rPr>
            </w:pPr>
            <w:r w:rsidRPr="00A8789B">
              <w:rPr>
                <w:color w:val="auto"/>
              </w:rPr>
              <w:t>Urgency</w:t>
            </w:r>
          </w:p>
        </w:tc>
      </w:tr>
    </w:tbl>
    <w:p w14:paraId="1B418682" w14:textId="62511D0C" w:rsidR="001E4111" w:rsidRPr="00F51CF1" w:rsidRDefault="00F51CF1" w:rsidP="0010442F">
      <w:pPr>
        <w:pStyle w:val="Heading1"/>
        <w:pageBreakBefore/>
        <w:rPr>
          <w:sz w:val="22"/>
          <w:szCs w:val="22"/>
        </w:rPr>
      </w:pPr>
      <w:r w:rsidRPr="00F51CF1">
        <w:rPr>
          <w:sz w:val="22"/>
          <w:szCs w:val="22"/>
        </w:rPr>
        <w:lastRenderedPageBreak/>
        <w:t xml:space="preserve">Timeline for </w:t>
      </w:r>
      <w:r w:rsidR="001E4111" w:rsidRPr="00F51CF1">
        <w:rPr>
          <w:sz w:val="22"/>
          <w:szCs w:val="22"/>
        </w:rPr>
        <w:t xml:space="preserve">TEC Development Fund </w:t>
      </w:r>
      <w:r w:rsidRPr="00F51CF1">
        <w:rPr>
          <w:sz w:val="22"/>
          <w:szCs w:val="22"/>
        </w:rPr>
        <w:t xml:space="preserve">Proposals, </w:t>
      </w:r>
      <w:r w:rsidR="00695171">
        <w:rPr>
          <w:sz w:val="22"/>
          <w:szCs w:val="22"/>
        </w:rPr>
        <w:t>Fiscal Year 2022 and Beyond</w:t>
      </w:r>
    </w:p>
    <w:p w14:paraId="154592DB" w14:textId="7844F782" w:rsidR="00695171" w:rsidRPr="00C262CD" w:rsidRDefault="00695171" w:rsidP="00C262CD">
      <w:pPr>
        <w:rPr>
          <w:b/>
          <w:bCs/>
          <w:u w:val="single"/>
        </w:rPr>
      </w:pPr>
      <w:r w:rsidRPr="00C262CD">
        <w:rPr>
          <w:b/>
          <w:bCs/>
          <w:u w:val="single"/>
        </w:rPr>
        <w:t>Annual Call for Proposals</w:t>
      </w:r>
    </w:p>
    <w:p w14:paraId="5BAC5302" w14:textId="2B1E67F2" w:rsidR="00F51CF1" w:rsidRPr="00F51CF1" w:rsidRDefault="00F51CF1" w:rsidP="00F51CF1">
      <w:pPr>
        <w:numPr>
          <w:ilvl w:val="0"/>
          <w:numId w:val="36"/>
        </w:numPr>
        <w:rPr>
          <w:rFonts w:eastAsia="Times New Roman"/>
        </w:rPr>
      </w:pPr>
      <w:r w:rsidRPr="00F51CF1">
        <w:rPr>
          <w:rFonts w:eastAsia="Times New Roman"/>
        </w:rPr>
        <w:t xml:space="preserve">Call for proposals </w:t>
      </w:r>
      <w:r w:rsidR="00777BF5">
        <w:rPr>
          <w:rFonts w:eastAsia="Times New Roman"/>
        </w:rPr>
        <w:t>published on</w:t>
      </w:r>
      <w:r w:rsidRPr="00F51CF1">
        <w:rPr>
          <w:rFonts w:eastAsia="Times New Roman"/>
        </w:rPr>
        <w:t xml:space="preserve">: </w:t>
      </w:r>
      <w:r w:rsidR="00B369A8">
        <w:rPr>
          <w:rFonts w:eastAsia="Times New Roman"/>
        </w:rPr>
        <w:t xml:space="preserve">August </w:t>
      </w:r>
      <w:r w:rsidR="00ED1EB1">
        <w:rPr>
          <w:rFonts w:eastAsia="Times New Roman"/>
        </w:rPr>
        <w:t>15</w:t>
      </w:r>
      <w:r w:rsidR="005F2940">
        <w:rPr>
          <w:rFonts w:eastAsia="Times New Roman"/>
        </w:rPr>
        <w:t>, 2021</w:t>
      </w:r>
    </w:p>
    <w:p w14:paraId="7CF947FB" w14:textId="05E92FD4" w:rsidR="00F51CF1" w:rsidRPr="00F51CF1" w:rsidRDefault="00695171" w:rsidP="00F51CF1">
      <w:pPr>
        <w:numPr>
          <w:ilvl w:val="0"/>
          <w:numId w:val="36"/>
        </w:numPr>
        <w:rPr>
          <w:rFonts w:eastAsia="Times New Roman"/>
        </w:rPr>
      </w:pPr>
      <w:r>
        <w:rPr>
          <w:rFonts w:eastAsia="Times New Roman"/>
        </w:rPr>
        <w:t>P</w:t>
      </w:r>
      <w:r w:rsidR="00F51CF1" w:rsidRPr="00F51CF1">
        <w:rPr>
          <w:rFonts w:eastAsia="Times New Roman"/>
        </w:rPr>
        <w:t xml:space="preserve">roposal submissions due: </w:t>
      </w:r>
      <w:r w:rsidR="00126CC6">
        <w:rPr>
          <w:rFonts w:eastAsia="Times New Roman"/>
        </w:rPr>
        <w:t>October 1</w:t>
      </w:r>
      <w:r w:rsidR="00965A0D">
        <w:rPr>
          <w:rFonts w:eastAsia="Times New Roman"/>
        </w:rPr>
        <w:t>, 2021</w:t>
      </w:r>
    </w:p>
    <w:p w14:paraId="024B5F06" w14:textId="6F8A21D5" w:rsidR="00F51CF1" w:rsidRPr="00F51CF1" w:rsidRDefault="00F51CF1" w:rsidP="003D5678">
      <w:pPr>
        <w:numPr>
          <w:ilvl w:val="1"/>
          <w:numId w:val="37"/>
        </w:numPr>
        <w:rPr>
          <w:rFonts w:eastAsia="Times New Roman"/>
        </w:rPr>
      </w:pPr>
      <w:r w:rsidRPr="00F51CF1">
        <w:rPr>
          <w:rFonts w:eastAsia="Times New Roman"/>
        </w:rPr>
        <w:t>Proposals will be reviewed and notifications will be provided to the submitter directly</w:t>
      </w:r>
      <w:r w:rsidR="007B5378">
        <w:rPr>
          <w:rFonts w:eastAsia="Times New Roman"/>
        </w:rPr>
        <w:t xml:space="preserve">, by </w:t>
      </w:r>
      <w:r w:rsidR="004134F5">
        <w:rPr>
          <w:rFonts w:eastAsia="Times New Roman"/>
        </w:rPr>
        <w:t>October 31, 2021</w:t>
      </w:r>
    </w:p>
    <w:p w14:paraId="20891FF4" w14:textId="30CFFFE4" w:rsidR="00F51CF1" w:rsidRDefault="00F51CF1" w:rsidP="003D5678">
      <w:pPr>
        <w:numPr>
          <w:ilvl w:val="1"/>
          <w:numId w:val="37"/>
        </w:numPr>
        <w:rPr>
          <w:rFonts w:eastAsia="Times New Roman"/>
        </w:rPr>
      </w:pPr>
      <w:r w:rsidRPr="00F51CF1">
        <w:rPr>
          <w:rFonts w:eastAsia="Times New Roman"/>
        </w:rPr>
        <w:t>Note that awards will be subject to funding availability</w:t>
      </w:r>
    </w:p>
    <w:p w14:paraId="3698A6C5" w14:textId="23D0CDE2" w:rsidR="00E446ED" w:rsidRPr="00F51CF1" w:rsidRDefault="00E446ED" w:rsidP="003D5678">
      <w:pPr>
        <w:numPr>
          <w:ilvl w:val="1"/>
          <w:numId w:val="37"/>
        </w:numPr>
        <w:rPr>
          <w:rFonts w:eastAsia="Times New Roman"/>
        </w:rPr>
      </w:pPr>
      <w:r>
        <w:rPr>
          <w:rFonts w:eastAsia="Times New Roman"/>
        </w:rPr>
        <w:t>Proposals will be funded which meet the guidelines for proposals</w:t>
      </w:r>
      <w:r w:rsidR="00AC157D">
        <w:rPr>
          <w:rFonts w:eastAsia="Times New Roman"/>
        </w:rPr>
        <w:t xml:space="preserve"> including ability to be long term self-sustaining </w:t>
      </w:r>
      <w:r w:rsidR="00356405">
        <w:rPr>
          <w:rFonts w:eastAsia="Times New Roman"/>
        </w:rPr>
        <w:t>and demonstrate ROI or SROI</w:t>
      </w:r>
      <w:r w:rsidR="00AC157D">
        <w:rPr>
          <w:rFonts w:eastAsia="Times New Roman"/>
        </w:rPr>
        <w:t>.</w:t>
      </w:r>
    </w:p>
    <w:p w14:paraId="39B8C452" w14:textId="5F0F1225" w:rsidR="001010F9" w:rsidRPr="00C262CD" w:rsidRDefault="001010F9" w:rsidP="00C262CD">
      <w:pPr>
        <w:rPr>
          <w:rFonts w:eastAsia="Times New Roman"/>
          <w:b/>
          <w:bCs/>
          <w:u w:val="single"/>
        </w:rPr>
      </w:pPr>
      <w:r w:rsidRPr="00C262CD">
        <w:rPr>
          <w:rFonts w:eastAsia="Times New Roman"/>
          <w:b/>
          <w:bCs/>
          <w:u w:val="single"/>
        </w:rPr>
        <w:t>Out</w:t>
      </w:r>
      <w:r>
        <w:rPr>
          <w:rFonts w:eastAsia="Times New Roman"/>
          <w:b/>
          <w:bCs/>
          <w:u w:val="single"/>
        </w:rPr>
        <w:t>-</w:t>
      </w:r>
      <w:r w:rsidRPr="00C262CD">
        <w:rPr>
          <w:rFonts w:eastAsia="Times New Roman"/>
          <w:b/>
          <w:bCs/>
          <w:u w:val="single"/>
        </w:rPr>
        <w:t>of</w:t>
      </w:r>
      <w:r>
        <w:rPr>
          <w:rFonts w:eastAsia="Times New Roman"/>
          <w:b/>
          <w:bCs/>
          <w:u w:val="single"/>
        </w:rPr>
        <w:t>-</w:t>
      </w:r>
      <w:r w:rsidRPr="00C262CD">
        <w:rPr>
          <w:rFonts w:eastAsia="Times New Roman"/>
          <w:b/>
          <w:bCs/>
          <w:u w:val="single"/>
        </w:rPr>
        <w:t>Cycle Proposals</w:t>
      </w:r>
    </w:p>
    <w:p w14:paraId="479BA504" w14:textId="381C5594" w:rsidR="00F51CF1" w:rsidRPr="00F51CF1" w:rsidRDefault="001010F9" w:rsidP="00C262CD">
      <w:pPr>
        <w:ind w:left="720"/>
        <w:rPr>
          <w:rFonts w:eastAsia="Times New Roman"/>
        </w:rPr>
      </w:pPr>
      <w:r>
        <w:rPr>
          <w:rFonts w:eastAsia="Times New Roman"/>
        </w:rPr>
        <w:t>P</w:t>
      </w:r>
      <w:r w:rsidR="00F51CF1" w:rsidRPr="00F51CF1">
        <w:rPr>
          <w:rFonts w:eastAsia="Times New Roman"/>
        </w:rPr>
        <w:t xml:space="preserve">roposals received after the </w:t>
      </w:r>
      <w:r w:rsidR="004134F5">
        <w:rPr>
          <w:rFonts w:eastAsia="Times New Roman"/>
        </w:rPr>
        <w:t>October 1</w:t>
      </w:r>
      <w:r w:rsidR="004134F5" w:rsidRPr="0055100F">
        <w:rPr>
          <w:rFonts w:eastAsia="Times New Roman"/>
          <w:vertAlign w:val="superscript"/>
        </w:rPr>
        <w:t>st</w:t>
      </w:r>
      <w:r w:rsidR="004134F5">
        <w:rPr>
          <w:rFonts w:eastAsia="Times New Roman"/>
        </w:rPr>
        <w:t xml:space="preserve"> </w:t>
      </w:r>
      <w:r w:rsidR="00F51CF1" w:rsidRPr="00F51CF1">
        <w:rPr>
          <w:rFonts w:eastAsia="Times New Roman"/>
        </w:rPr>
        <w:t>due date will be reviewed in the order they are received but no set timelines are given.  These will be considered OUT-OF-CYCLE applications, which can be submitted at any time outside the normal solicited time window.</w:t>
      </w:r>
      <w:r w:rsidR="00D53A3A">
        <w:rPr>
          <w:rFonts w:eastAsia="Times New Roman"/>
        </w:rPr>
        <w:t xml:space="preserve">  Out-of-cycle applications will typically be evaluated by the TEC Council on at least a quarterly basis as time permits.</w:t>
      </w:r>
    </w:p>
    <w:p w14:paraId="494CE40D" w14:textId="77777777" w:rsidR="00ED6A64" w:rsidRPr="00A8789B" w:rsidRDefault="00AC30CC" w:rsidP="003363A1">
      <w:pPr>
        <w:pStyle w:val="Heading1"/>
        <w:rPr>
          <w:sz w:val="22"/>
          <w:szCs w:val="22"/>
        </w:rPr>
      </w:pPr>
      <w:r w:rsidRPr="00A8789B">
        <w:rPr>
          <w:sz w:val="22"/>
          <w:szCs w:val="22"/>
        </w:rPr>
        <w:t>Accounting</w:t>
      </w:r>
      <w:r w:rsidR="001B44BC" w:rsidRPr="00A8789B">
        <w:rPr>
          <w:sz w:val="22"/>
          <w:szCs w:val="22"/>
        </w:rPr>
        <w:t xml:space="preserve"> Guidelines</w:t>
      </w:r>
    </w:p>
    <w:p w14:paraId="25D59F5D" w14:textId="0BD6AF93" w:rsidR="00AC30CC" w:rsidRPr="00A8789B" w:rsidRDefault="009E45DC" w:rsidP="00A03FC5">
      <w:pPr>
        <w:pStyle w:val="ListParagraph"/>
        <w:numPr>
          <w:ilvl w:val="0"/>
          <w:numId w:val="31"/>
        </w:numPr>
        <w:spacing w:before="0"/>
        <w:contextualSpacing w:val="0"/>
        <w:rPr>
          <w:rFonts w:eastAsiaTheme="minorHAnsi"/>
        </w:rPr>
      </w:pPr>
      <w:r w:rsidRPr="00A8789B">
        <w:t>F</w:t>
      </w:r>
      <w:r w:rsidR="00AC30CC" w:rsidRPr="00A8789B">
        <w:t>unds must be used for intended direct expenses in the corresponding budget’s fiscal year</w:t>
      </w:r>
      <w:r w:rsidR="00BD5F2D" w:rsidRPr="00A8789B">
        <w:t>.</w:t>
      </w:r>
    </w:p>
    <w:p w14:paraId="0F4F880F" w14:textId="4D275D36" w:rsidR="00AC30CC" w:rsidRPr="00A8789B" w:rsidRDefault="00AC30CC" w:rsidP="00A03FC5">
      <w:pPr>
        <w:pStyle w:val="ListParagraph"/>
        <w:numPr>
          <w:ilvl w:val="0"/>
          <w:numId w:val="31"/>
        </w:numPr>
        <w:spacing w:before="0"/>
        <w:contextualSpacing w:val="0"/>
      </w:pPr>
      <w:r w:rsidRPr="00A8789B">
        <w:t>Since ASME uses accrual accounting, funds may only be used for actual expenses as they are incurred</w:t>
      </w:r>
      <w:r w:rsidR="00BD5F2D" w:rsidRPr="00A8789B">
        <w:t>.  All expenses MUST have appropriate invoice/expense report backup filed before payment.</w:t>
      </w:r>
    </w:p>
    <w:p w14:paraId="79234FAF" w14:textId="52A56E0A" w:rsidR="00AC30CC" w:rsidRDefault="00AC30CC" w:rsidP="00A03FC5">
      <w:pPr>
        <w:pStyle w:val="ListParagraph"/>
        <w:numPr>
          <w:ilvl w:val="0"/>
          <w:numId w:val="31"/>
        </w:numPr>
        <w:spacing w:before="0"/>
        <w:contextualSpacing w:val="0"/>
      </w:pPr>
      <w:r w:rsidRPr="00A8789B">
        <w:t>Funds may not be transferred to a balance sheet account, such as the Division’s segregated account</w:t>
      </w:r>
      <w:r w:rsidR="00BD5F2D" w:rsidRPr="00A8789B">
        <w:t>.</w:t>
      </w:r>
    </w:p>
    <w:p w14:paraId="2F7B5086" w14:textId="7335E825" w:rsidR="005A1F33" w:rsidRDefault="005A1F33">
      <w:pPr>
        <w:spacing w:before="0" w:after="160" w:line="259" w:lineRule="auto"/>
      </w:pPr>
      <w:r>
        <w:br w:type="page"/>
      </w:r>
    </w:p>
    <w:p w14:paraId="07ABD963" w14:textId="77777777" w:rsidR="00FB6792" w:rsidRDefault="00FB6792" w:rsidP="00FB6792">
      <w:pPr>
        <w:spacing w:after="120"/>
        <w:rPr>
          <w:b/>
          <w:color w:val="4472C4" w:themeColor="accent5"/>
          <w:sz w:val="28"/>
        </w:rPr>
      </w:pPr>
      <w:r>
        <w:rPr>
          <w:b/>
          <w:color w:val="4472C4" w:themeColor="accent5"/>
          <w:sz w:val="28"/>
        </w:rPr>
        <w:t>TEC DEVELOPMENT FUND PROPOSAL</w:t>
      </w:r>
    </w:p>
    <w:p w14:paraId="66BF62EF" w14:textId="77777777" w:rsidR="00FB6792" w:rsidRDefault="00FB6792" w:rsidP="00FB6792">
      <w:pPr>
        <w:spacing w:after="120"/>
        <w:rPr>
          <w:b/>
          <w:color w:val="4472C4" w:themeColor="accent5"/>
          <w:sz w:val="28"/>
        </w:rPr>
      </w:pPr>
      <w:r>
        <w:rPr>
          <w:b/>
          <w:color w:val="4472C4" w:themeColor="accent5"/>
          <w:sz w:val="28"/>
        </w:rPr>
        <w:t xml:space="preserve">Send completed proposals to </w:t>
      </w:r>
      <w:hyperlink r:id="rId12" w:history="1">
        <w:r w:rsidRPr="009706E4">
          <w:rPr>
            <w:rStyle w:val="Hyperlink"/>
            <w:b/>
            <w:sz w:val="28"/>
          </w:rPr>
          <w:t>asmetec@asme.org</w:t>
        </w:r>
      </w:hyperlink>
      <w:r>
        <w:rPr>
          <w:b/>
          <w:color w:val="4472C4" w:themeColor="accent5"/>
          <w:sz w:val="28"/>
        </w:rPr>
        <w:t xml:space="preserve"> by October 1, 2021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330"/>
      </w:tblGrid>
      <w:tr w:rsidR="00FB6792" w:rsidRPr="005D3E56" w14:paraId="4E9EF209" w14:textId="77777777" w:rsidTr="00530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9E2F3" w:themeFill="accent5" w:themeFillTint="33"/>
          </w:tcPr>
          <w:p w14:paraId="57435EF6" w14:textId="77777777" w:rsidR="00FB6792" w:rsidRPr="005D3E56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</w:rPr>
            </w:pPr>
            <w:r w:rsidRPr="005D3E56">
              <w:rPr>
                <w:b w:val="0"/>
                <w:u w:val="single"/>
              </w:rPr>
              <w:t>Proposal Title</w:t>
            </w:r>
            <w:r w:rsidRPr="005D3E56">
              <w:rPr>
                <w:b w:val="0"/>
              </w:rPr>
              <w:t xml:space="preserve">:  </w:t>
            </w:r>
          </w:p>
        </w:tc>
      </w:tr>
      <w:tr w:rsidR="00FB6792" w:rsidRPr="005D3E56" w14:paraId="2DE25A18" w14:textId="77777777" w:rsidTr="005300A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14:paraId="42B827F9" w14:textId="77777777" w:rsidR="00FB6792" w:rsidRPr="00E23F83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</w:rPr>
            </w:pPr>
            <w:r w:rsidRPr="00E23F83">
              <w:rPr>
                <w:b w:val="0"/>
                <w:u w:val="single"/>
              </w:rPr>
              <w:t>Date of Submittal</w:t>
            </w:r>
            <w:r w:rsidRPr="00E23F83">
              <w:rPr>
                <w:b w:val="0"/>
              </w:rPr>
              <w:t xml:space="preserve">:  </w:t>
            </w:r>
          </w:p>
        </w:tc>
      </w:tr>
      <w:tr w:rsidR="00FB6792" w:rsidRPr="005D3E56" w14:paraId="26D11A8D" w14:textId="77777777" w:rsidTr="005300A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5FA70E01" w14:textId="77777777" w:rsidR="00FB6792" w:rsidRPr="00E23F83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  <w:u w:val="single"/>
              </w:rPr>
            </w:pPr>
            <w:r w:rsidRPr="00E23F83">
              <w:rPr>
                <w:b w:val="0"/>
                <w:u w:val="single"/>
              </w:rPr>
              <w:t>Contact Information for Initiator</w:t>
            </w:r>
            <w:r w:rsidRPr="00E23F83">
              <w:rPr>
                <w:b w:val="0"/>
              </w:rPr>
              <w:t xml:space="preserve">:  </w:t>
            </w:r>
          </w:p>
        </w:tc>
      </w:tr>
      <w:tr w:rsidR="00FB6792" w:rsidRPr="005D3E56" w14:paraId="3E235D5C" w14:textId="77777777" w:rsidTr="005300A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3EF45310" w14:textId="77777777" w:rsidR="00FB6792" w:rsidRPr="005D3E56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</w:rPr>
            </w:pPr>
            <w:r w:rsidRPr="005D3E56">
              <w:rPr>
                <w:b w:val="0"/>
                <w:u w:val="single"/>
              </w:rPr>
              <w:t xml:space="preserve">Sponsoring Technical Division(s) </w:t>
            </w:r>
            <w:r>
              <w:rPr>
                <w:b w:val="0"/>
                <w:u w:val="single"/>
              </w:rPr>
              <w:t>and/or</w:t>
            </w:r>
            <w:r w:rsidRPr="005D3E56">
              <w:rPr>
                <w:b w:val="0"/>
                <w:u w:val="single"/>
              </w:rPr>
              <w:t xml:space="preserve"> Affiliated </w:t>
            </w:r>
            <w:r>
              <w:rPr>
                <w:b w:val="0"/>
                <w:u w:val="single"/>
              </w:rPr>
              <w:t>Technology Group</w:t>
            </w:r>
            <w:r w:rsidRPr="005D3E56">
              <w:rPr>
                <w:b w:val="0"/>
                <w:u w:val="single"/>
              </w:rPr>
              <w:t>(s):</w:t>
            </w:r>
            <w:r w:rsidRPr="005D3E56">
              <w:rPr>
                <w:b w:val="0"/>
              </w:rPr>
              <w:t xml:space="preserve">  </w:t>
            </w:r>
          </w:p>
        </w:tc>
      </w:tr>
      <w:tr w:rsidR="00FB6792" w:rsidRPr="005D3E56" w14:paraId="31E7268E" w14:textId="77777777" w:rsidTr="005300A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6DC17660" w14:textId="77777777" w:rsidR="00FB6792" w:rsidRPr="005D3E56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</w:rPr>
            </w:pPr>
            <w:r w:rsidRPr="005D3E56">
              <w:rPr>
                <w:b w:val="0"/>
                <w:u w:val="single"/>
              </w:rPr>
              <w:t>Description of Proposed Initiative</w:t>
            </w:r>
            <w:r w:rsidRPr="005D3E56">
              <w:rPr>
                <w:b w:val="0"/>
              </w:rPr>
              <w:t xml:space="preserve">:  </w:t>
            </w:r>
          </w:p>
        </w:tc>
      </w:tr>
      <w:tr w:rsidR="00FB6792" w:rsidRPr="005D3E56" w14:paraId="6CC4A31A" w14:textId="77777777" w:rsidTr="005300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0BBEDBCC" w14:textId="77777777" w:rsidR="00FB6792" w:rsidRPr="00E23F83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</w:rPr>
            </w:pPr>
            <w:r>
              <w:rPr>
                <w:b w:val="0"/>
                <w:u w:val="single"/>
              </w:rPr>
              <w:t>Total Revenues and Expenses budgeted (Include estimates for first three years</w:t>
            </w:r>
            <w:r>
              <w:t xml:space="preserve"> </w:t>
            </w:r>
            <w:r w:rsidRPr="00A33850">
              <w:rPr>
                <w:b w:val="0"/>
                <w:u w:val="single"/>
              </w:rPr>
              <w:t>of program – include historical information if appropriate</w:t>
            </w:r>
            <w:r>
              <w:rPr>
                <w:b w:val="0"/>
                <w:u w:val="single"/>
              </w:rPr>
              <w:t>):</w:t>
            </w:r>
          </w:p>
          <w:p w14:paraId="3402DC27" w14:textId="77777777" w:rsidR="00FB6792" w:rsidRPr="005D3E56" w:rsidRDefault="00FB6792" w:rsidP="005300AB">
            <w:pPr>
              <w:pStyle w:val="ListParagraph"/>
              <w:ind w:left="360"/>
              <w:rPr>
                <w:b w:val="0"/>
              </w:rPr>
            </w:pPr>
          </w:p>
        </w:tc>
      </w:tr>
      <w:tr w:rsidR="00FB6792" w:rsidRPr="005D3E56" w14:paraId="1C8A1AE7" w14:textId="77777777" w:rsidTr="005300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4EB1FB9B" w14:textId="77777777" w:rsidR="00FB6792" w:rsidRPr="0030591E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  <w:u w:val="single"/>
              </w:rPr>
            </w:pPr>
            <w:r w:rsidRPr="00E23F83">
              <w:rPr>
                <w:b w:val="0"/>
                <w:u w:val="single"/>
              </w:rPr>
              <w:t>Requested Funding Amount</w:t>
            </w:r>
            <w:r>
              <w:rPr>
                <w:b w:val="0"/>
                <w:u w:val="single"/>
              </w:rPr>
              <w:t xml:space="preserve"> </w:t>
            </w:r>
          </w:p>
          <w:p w14:paraId="1D0E3729" w14:textId="77777777" w:rsidR="00FB6792" w:rsidRPr="0030591E" w:rsidRDefault="00FB6792" w:rsidP="00FB6792">
            <w:pPr>
              <w:pStyle w:val="ListParagraph"/>
              <w:numPr>
                <w:ilvl w:val="1"/>
                <w:numId w:val="38"/>
              </w:numPr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Amount Requested from TEC Fund: $</w:t>
            </w:r>
          </w:p>
          <w:p w14:paraId="4566EF2B" w14:textId="77777777" w:rsidR="00FB6792" w:rsidRPr="0030591E" w:rsidRDefault="00FB6792" w:rsidP="00FB6792">
            <w:pPr>
              <w:pStyle w:val="ListParagraph"/>
              <w:numPr>
                <w:ilvl w:val="1"/>
                <w:numId w:val="38"/>
              </w:numPr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 xml:space="preserve">If a Division is contributing any funds from their segregated account to further support this activity, please note the name of the Division and dollar amount of funds here: </w:t>
            </w:r>
          </w:p>
          <w:p w14:paraId="18F22535" w14:textId="77777777" w:rsidR="00FB6792" w:rsidRPr="00E23F83" w:rsidRDefault="00FB6792" w:rsidP="005300AB">
            <w:pPr>
              <w:pStyle w:val="ListParagraph"/>
              <w:ind w:left="1080"/>
              <w:rPr>
                <w:b w:val="0"/>
                <w:u w:val="single"/>
              </w:rPr>
            </w:pPr>
          </w:p>
        </w:tc>
      </w:tr>
      <w:tr w:rsidR="00FB6792" w:rsidRPr="005D3E56" w14:paraId="46CA3627" w14:textId="77777777" w:rsidTr="005300AB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7936CFAE" w14:textId="77777777" w:rsidR="00FB6792" w:rsidRPr="00E23F83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Strategic Technologies Addressed:</w:t>
            </w:r>
          </w:p>
        </w:tc>
      </w:tr>
      <w:tr w:rsidR="00FB6792" w:rsidRPr="005D3E56" w14:paraId="620E1591" w14:textId="77777777" w:rsidTr="005300AB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568C5E64" w14:textId="77777777" w:rsidR="00FB6792" w:rsidRPr="005D3E56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</w:rPr>
            </w:pPr>
            <w:r w:rsidRPr="005D3E56">
              <w:rPr>
                <w:b w:val="0"/>
                <w:u w:val="single"/>
              </w:rPr>
              <w:t>Common Conference Elements Addressed</w:t>
            </w:r>
            <w:r w:rsidRPr="005D3E56">
              <w:rPr>
                <w:b w:val="0"/>
              </w:rPr>
              <w:t xml:space="preserve">:  </w:t>
            </w:r>
          </w:p>
        </w:tc>
      </w:tr>
      <w:tr w:rsidR="00FB6792" w:rsidRPr="005D3E56" w14:paraId="66F3F52D" w14:textId="77777777" w:rsidTr="005300A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515E4373" w14:textId="77777777" w:rsidR="00FB6792" w:rsidRPr="0030591E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</w:rPr>
            </w:pPr>
            <w:r>
              <w:rPr>
                <w:b w:val="0"/>
                <w:u w:val="single"/>
              </w:rPr>
              <w:t xml:space="preserve">Summarize the </w:t>
            </w:r>
            <w:r w:rsidRPr="00E23F83">
              <w:rPr>
                <w:b w:val="0"/>
                <w:u w:val="single"/>
              </w:rPr>
              <w:t>Direct Return for ASME</w:t>
            </w:r>
            <w:r>
              <w:rPr>
                <w:b w:val="0"/>
                <w:u w:val="single"/>
              </w:rPr>
              <w:t xml:space="preserve"> (Revenues, Sustainability, etc.) and Include funding estimates for the first three years</w:t>
            </w:r>
            <w:r>
              <w:t xml:space="preserve"> </w:t>
            </w:r>
            <w:r w:rsidRPr="00A33850">
              <w:rPr>
                <w:b w:val="0"/>
                <w:u w:val="single"/>
              </w:rPr>
              <w:t xml:space="preserve">of program – </w:t>
            </w:r>
            <w:r>
              <w:rPr>
                <w:b w:val="0"/>
                <w:u w:val="single"/>
              </w:rPr>
              <w:t>provide</w:t>
            </w:r>
            <w:r w:rsidRPr="00A33850">
              <w:rPr>
                <w:b w:val="0"/>
                <w:u w:val="single"/>
              </w:rPr>
              <w:t xml:space="preserve"> historical information if appropriate</w:t>
            </w:r>
            <w:r w:rsidRPr="00E23F83">
              <w:rPr>
                <w:b w:val="0"/>
              </w:rPr>
              <w:t xml:space="preserve">:  </w:t>
            </w:r>
          </w:p>
          <w:p w14:paraId="284E8292" w14:textId="77777777" w:rsidR="00FB6792" w:rsidRPr="0006757E" w:rsidRDefault="00FB6792" w:rsidP="005300AB"/>
        </w:tc>
      </w:tr>
      <w:tr w:rsidR="00FB6792" w:rsidRPr="005D3E56" w14:paraId="19229619" w14:textId="77777777" w:rsidTr="005300A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3811ACE5" w14:textId="77777777" w:rsidR="00FB6792" w:rsidRPr="00E23F83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Indirect Return for ASME (SROI, etc.)</w:t>
            </w:r>
          </w:p>
        </w:tc>
      </w:tr>
      <w:tr w:rsidR="00FB6792" w:rsidRPr="005D3E56" w14:paraId="14291EDE" w14:textId="77777777" w:rsidTr="005300AB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5EE50CCE" w14:textId="77777777" w:rsidR="00FB6792" w:rsidRPr="005D3E56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</w:rPr>
            </w:pPr>
            <w:r w:rsidRPr="005D3E56">
              <w:rPr>
                <w:b w:val="0"/>
                <w:u w:val="single"/>
              </w:rPr>
              <w:t>Other Comments</w:t>
            </w:r>
            <w:r w:rsidRPr="005D3E56">
              <w:rPr>
                <w:b w:val="0"/>
              </w:rPr>
              <w:t xml:space="preserve">:  </w:t>
            </w:r>
          </w:p>
        </w:tc>
      </w:tr>
      <w:tr w:rsidR="00FB6792" w:rsidRPr="003B4C12" w14:paraId="61D4C2D6" w14:textId="77777777" w:rsidTr="005300A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891F0EF" w14:textId="77777777" w:rsidR="00FB6792" w:rsidRPr="003B4C12" w:rsidRDefault="00FB6792" w:rsidP="00FB6792">
            <w:pPr>
              <w:pStyle w:val="ListParagraph"/>
              <w:numPr>
                <w:ilvl w:val="0"/>
                <w:numId w:val="38"/>
              </w:numPr>
              <w:rPr>
                <w:b w:val="0"/>
                <w:bCs w:val="0"/>
                <w:u w:val="single"/>
              </w:rPr>
            </w:pPr>
            <w:r w:rsidRPr="003B4C12">
              <w:rPr>
                <w:b w:val="0"/>
                <w:bCs w:val="0"/>
                <w:u w:val="single"/>
              </w:rPr>
              <w:t>Attachments</w:t>
            </w:r>
            <w:r>
              <w:rPr>
                <w:b w:val="0"/>
                <w:bCs w:val="0"/>
                <w:u w:val="single"/>
              </w:rPr>
              <w:t xml:space="preserve"> (you must include a detailed budget)</w:t>
            </w:r>
            <w:r>
              <w:rPr>
                <w:b w:val="0"/>
                <w:u w:val="single"/>
              </w:rPr>
              <w:t xml:space="preserve"> </w:t>
            </w:r>
            <w:r w:rsidRPr="003B4C12">
              <w:rPr>
                <w:b w:val="0"/>
                <w:bCs w:val="0"/>
              </w:rPr>
              <w:t xml:space="preserve"> </w:t>
            </w:r>
          </w:p>
        </w:tc>
      </w:tr>
      <w:tr w:rsidR="00FB6792" w:rsidRPr="005D3E56" w14:paraId="46C2351F" w14:textId="77777777" w:rsidTr="005300A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9E2F3" w:themeFill="accent5" w:themeFillTint="33"/>
          </w:tcPr>
          <w:p w14:paraId="3A43668E" w14:textId="77777777" w:rsidR="00FB6792" w:rsidRPr="003B4C12" w:rsidRDefault="00FB6792" w:rsidP="005300A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Please submit completed proposals to TEC Council at </w:t>
            </w:r>
            <w:hyperlink r:id="rId13">
              <w:r w:rsidRPr="47B70271">
                <w:rPr>
                  <w:rStyle w:val="Hyperlink"/>
                  <w:b w:val="0"/>
                  <w:bCs w:val="0"/>
                </w:rPr>
                <w:t>asmetec@asme.org</w:t>
              </w:r>
            </w:hyperlink>
            <w:r>
              <w:rPr>
                <w:b w:val="0"/>
                <w:bCs w:val="0"/>
              </w:rPr>
              <w:t xml:space="preserve"> for consideration</w:t>
            </w:r>
          </w:p>
        </w:tc>
      </w:tr>
    </w:tbl>
    <w:p w14:paraId="237CB071" w14:textId="77777777" w:rsidR="00FB6792" w:rsidRPr="009D3446" w:rsidRDefault="00FB6792" w:rsidP="00FB6792"/>
    <w:p w14:paraId="7617B8F7" w14:textId="77777777" w:rsidR="005A1F33" w:rsidRPr="00A8789B" w:rsidRDefault="005A1F33" w:rsidP="005A1F33">
      <w:pPr>
        <w:spacing w:before="0"/>
      </w:pPr>
    </w:p>
    <w:sectPr w:rsidR="005A1F33" w:rsidRPr="00A8789B" w:rsidSect="00720D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B9A5" w14:textId="77777777" w:rsidR="00415962" w:rsidRDefault="00415962" w:rsidP="00DD62B7">
      <w:r>
        <w:separator/>
      </w:r>
    </w:p>
  </w:endnote>
  <w:endnote w:type="continuationSeparator" w:id="0">
    <w:p w14:paraId="79A6E65F" w14:textId="77777777" w:rsidR="00415962" w:rsidRDefault="00415962" w:rsidP="00DD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3C13" w14:textId="77777777" w:rsidR="00415962" w:rsidRDefault="00415962" w:rsidP="00DD62B7">
      <w:r>
        <w:separator/>
      </w:r>
    </w:p>
  </w:footnote>
  <w:footnote w:type="continuationSeparator" w:id="0">
    <w:p w14:paraId="2ED3C51D" w14:textId="77777777" w:rsidR="00415962" w:rsidRDefault="00415962" w:rsidP="00DD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E6D"/>
    <w:multiLevelType w:val="hybridMultilevel"/>
    <w:tmpl w:val="32429B8C"/>
    <w:lvl w:ilvl="0" w:tplc="F934D7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657"/>
    <w:multiLevelType w:val="hybridMultilevel"/>
    <w:tmpl w:val="A782A9DC"/>
    <w:lvl w:ilvl="0" w:tplc="3326A2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6630"/>
    <w:multiLevelType w:val="hybridMultilevel"/>
    <w:tmpl w:val="3EDE2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C5F2B"/>
    <w:multiLevelType w:val="hybridMultilevel"/>
    <w:tmpl w:val="6B8A1456"/>
    <w:lvl w:ilvl="0" w:tplc="75BAF9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C12A1"/>
    <w:multiLevelType w:val="hybridMultilevel"/>
    <w:tmpl w:val="B072AA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55EE8"/>
    <w:multiLevelType w:val="hybridMultilevel"/>
    <w:tmpl w:val="76F6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76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A2AF1"/>
    <w:multiLevelType w:val="hybridMultilevel"/>
    <w:tmpl w:val="2F7A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D6833"/>
    <w:multiLevelType w:val="hybridMultilevel"/>
    <w:tmpl w:val="839C7B82"/>
    <w:lvl w:ilvl="0" w:tplc="F934D7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4315"/>
    <w:multiLevelType w:val="hybridMultilevel"/>
    <w:tmpl w:val="9774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752EF"/>
    <w:multiLevelType w:val="multilevel"/>
    <w:tmpl w:val="9E3013D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E9790A"/>
    <w:multiLevelType w:val="hybridMultilevel"/>
    <w:tmpl w:val="B128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A240C"/>
    <w:multiLevelType w:val="hybridMultilevel"/>
    <w:tmpl w:val="7D8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F0D13"/>
    <w:multiLevelType w:val="hybridMultilevel"/>
    <w:tmpl w:val="A86A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07931"/>
    <w:multiLevelType w:val="hybridMultilevel"/>
    <w:tmpl w:val="2BF6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F7252"/>
    <w:multiLevelType w:val="hybridMultilevel"/>
    <w:tmpl w:val="26FC0430"/>
    <w:lvl w:ilvl="0" w:tplc="F934D7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934D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B7870"/>
    <w:multiLevelType w:val="hybridMultilevel"/>
    <w:tmpl w:val="6A641812"/>
    <w:lvl w:ilvl="0" w:tplc="75BAF9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2358A"/>
    <w:multiLevelType w:val="hybridMultilevel"/>
    <w:tmpl w:val="42AE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46124"/>
    <w:multiLevelType w:val="hybridMultilevel"/>
    <w:tmpl w:val="F40C228C"/>
    <w:lvl w:ilvl="0" w:tplc="F934D7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6690"/>
    <w:multiLevelType w:val="hybridMultilevel"/>
    <w:tmpl w:val="BAE4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A70BF"/>
    <w:multiLevelType w:val="hybridMultilevel"/>
    <w:tmpl w:val="5C780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72C31"/>
    <w:multiLevelType w:val="hybridMultilevel"/>
    <w:tmpl w:val="084ED90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2" w15:restartNumberingAfterBreak="0">
    <w:nsid w:val="50C9668E"/>
    <w:multiLevelType w:val="hybridMultilevel"/>
    <w:tmpl w:val="58E4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C32AB"/>
    <w:multiLevelType w:val="hybridMultilevel"/>
    <w:tmpl w:val="0D98D16A"/>
    <w:lvl w:ilvl="0" w:tplc="F934D7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5BAF9E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84F8A"/>
    <w:multiLevelType w:val="hybridMultilevel"/>
    <w:tmpl w:val="3784254A"/>
    <w:lvl w:ilvl="0" w:tplc="F934D7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30654"/>
    <w:multiLevelType w:val="hybridMultilevel"/>
    <w:tmpl w:val="7DF8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7799F"/>
    <w:multiLevelType w:val="hybridMultilevel"/>
    <w:tmpl w:val="4B0E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11C86"/>
    <w:multiLevelType w:val="hybridMultilevel"/>
    <w:tmpl w:val="13A88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9A2881"/>
    <w:multiLevelType w:val="hybridMultilevel"/>
    <w:tmpl w:val="C50C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AF9E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71A25"/>
    <w:multiLevelType w:val="hybridMultilevel"/>
    <w:tmpl w:val="4D506570"/>
    <w:lvl w:ilvl="0" w:tplc="75BAF9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B3816"/>
    <w:multiLevelType w:val="hybridMultilevel"/>
    <w:tmpl w:val="8B445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E21338"/>
    <w:multiLevelType w:val="hybridMultilevel"/>
    <w:tmpl w:val="1EC23846"/>
    <w:lvl w:ilvl="0" w:tplc="1EDA0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64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03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4B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21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8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6D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2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FA75AE"/>
    <w:multiLevelType w:val="hybridMultilevel"/>
    <w:tmpl w:val="F0C2E7A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3" w15:restartNumberingAfterBreak="0">
    <w:nsid w:val="72F74535"/>
    <w:multiLevelType w:val="hybridMultilevel"/>
    <w:tmpl w:val="A0822980"/>
    <w:lvl w:ilvl="0" w:tplc="F934D7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E4FC7"/>
    <w:multiLevelType w:val="hybridMultilevel"/>
    <w:tmpl w:val="B0A07704"/>
    <w:lvl w:ilvl="0" w:tplc="75BAF9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95961">
    <w:abstractNumId w:val="19"/>
  </w:num>
  <w:num w:numId="2" w16cid:durableId="377778778">
    <w:abstractNumId w:val="2"/>
  </w:num>
  <w:num w:numId="3" w16cid:durableId="1005206776">
    <w:abstractNumId w:val="6"/>
  </w:num>
  <w:num w:numId="4" w16cid:durableId="1247150863">
    <w:abstractNumId w:val="10"/>
  </w:num>
  <w:num w:numId="5" w16cid:durableId="606892700">
    <w:abstractNumId w:val="31"/>
  </w:num>
  <w:num w:numId="6" w16cid:durableId="1166751646">
    <w:abstractNumId w:val="7"/>
  </w:num>
  <w:num w:numId="7" w16cid:durableId="661085935">
    <w:abstractNumId w:val="25"/>
  </w:num>
  <w:num w:numId="8" w16cid:durableId="217864063">
    <w:abstractNumId w:val="22"/>
  </w:num>
  <w:num w:numId="9" w16cid:durableId="185170960">
    <w:abstractNumId w:val="9"/>
  </w:num>
  <w:num w:numId="10" w16cid:durableId="342559079">
    <w:abstractNumId w:val="13"/>
  </w:num>
  <w:num w:numId="11" w16cid:durableId="1952861915">
    <w:abstractNumId w:val="17"/>
  </w:num>
  <w:num w:numId="12" w16cid:durableId="1353723429">
    <w:abstractNumId w:val="26"/>
  </w:num>
  <w:num w:numId="13" w16cid:durableId="875392918">
    <w:abstractNumId w:val="30"/>
  </w:num>
  <w:num w:numId="14" w16cid:durableId="1501233955">
    <w:abstractNumId w:val="32"/>
  </w:num>
  <w:num w:numId="15" w16cid:durableId="542593738">
    <w:abstractNumId w:val="21"/>
  </w:num>
  <w:num w:numId="16" w16cid:durableId="963653175">
    <w:abstractNumId w:val="16"/>
  </w:num>
  <w:num w:numId="17" w16cid:durableId="1020276206">
    <w:abstractNumId w:val="29"/>
  </w:num>
  <w:num w:numId="18" w16cid:durableId="1940746984">
    <w:abstractNumId w:val="12"/>
  </w:num>
  <w:num w:numId="19" w16cid:durableId="1700739713">
    <w:abstractNumId w:val="28"/>
  </w:num>
  <w:num w:numId="20" w16cid:durableId="1931967713">
    <w:abstractNumId w:val="14"/>
  </w:num>
  <w:num w:numId="21" w16cid:durableId="574363489">
    <w:abstractNumId w:val="3"/>
  </w:num>
  <w:num w:numId="22" w16cid:durableId="405028914">
    <w:abstractNumId w:val="34"/>
  </w:num>
  <w:num w:numId="23" w16cid:durableId="1209222695">
    <w:abstractNumId w:val="15"/>
  </w:num>
  <w:num w:numId="24" w16cid:durableId="266236689">
    <w:abstractNumId w:val="1"/>
  </w:num>
  <w:num w:numId="25" w16cid:durableId="1256599624">
    <w:abstractNumId w:val="1"/>
  </w:num>
  <w:num w:numId="26" w16cid:durableId="660813724">
    <w:abstractNumId w:val="11"/>
  </w:num>
  <w:num w:numId="27" w16cid:durableId="977032664">
    <w:abstractNumId w:val="5"/>
  </w:num>
  <w:num w:numId="28" w16cid:durableId="518741540">
    <w:abstractNumId w:val="23"/>
  </w:num>
  <w:num w:numId="29" w16cid:durableId="388842639">
    <w:abstractNumId w:val="8"/>
  </w:num>
  <w:num w:numId="30" w16cid:durableId="762647527">
    <w:abstractNumId w:val="24"/>
  </w:num>
  <w:num w:numId="31" w16cid:durableId="1690402637">
    <w:abstractNumId w:val="0"/>
  </w:num>
  <w:num w:numId="32" w16cid:durableId="303462635">
    <w:abstractNumId w:val="33"/>
  </w:num>
  <w:num w:numId="33" w16cid:durableId="628127276">
    <w:abstractNumId w:val="20"/>
  </w:num>
  <w:num w:numId="34" w16cid:durableId="414933702">
    <w:abstractNumId w:val="4"/>
  </w:num>
  <w:num w:numId="35" w16cid:durableId="127443472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872376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506752451">
    <w:abstractNumId w:val="18"/>
  </w:num>
  <w:num w:numId="38" w16cid:durableId="20462545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64"/>
    <w:rsid w:val="00013D1B"/>
    <w:rsid w:val="000515A8"/>
    <w:rsid w:val="000B105D"/>
    <w:rsid w:val="000B15A9"/>
    <w:rsid w:val="000F30DB"/>
    <w:rsid w:val="001010F9"/>
    <w:rsid w:val="0010442F"/>
    <w:rsid w:val="00126CC6"/>
    <w:rsid w:val="00127E5F"/>
    <w:rsid w:val="00146527"/>
    <w:rsid w:val="001502BE"/>
    <w:rsid w:val="001B44BC"/>
    <w:rsid w:val="001E4111"/>
    <w:rsid w:val="002041C7"/>
    <w:rsid w:val="00223924"/>
    <w:rsid w:val="0025659D"/>
    <w:rsid w:val="00274487"/>
    <w:rsid w:val="00282718"/>
    <w:rsid w:val="002B469A"/>
    <w:rsid w:val="003363A1"/>
    <w:rsid w:val="003400C9"/>
    <w:rsid w:val="00356405"/>
    <w:rsid w:val="003D5678"/>
    <w:rsid w:val="003E591E"/>
    <w:rsid w:val="004134F5"/>
    <w:rsid w:val="00415962"/>
    <w:rsid w:val="00437346"/>
    <w:rsid w:val="004402D1"/>
    <w:rsid w:val="004613D5"/>
    <w:rsid w:val="004714AE"/>
    <w:rsid w:val="0048018D"/>
    <w:rsid w:val="004A02ED"/>
    <w:rsid w:val="004A6C7B"/>
    <w:rsid w:val="004C52B8"/>
    <w:rsid w:val="004D156E"/>
    <w:rsid w:val="004E170E"/>
    <w:rsid w:val="004E4AB6"/>
    <w:rsid w:val="005315BF"/>
    <w:rsid w:val="0055100F"/>
    <w:rsid w:val="005A1F33"/>
    <w:rsid w:val="005F2940"/>
    <w:rsid w:val="00602EBD"/>
    <w:rsid w:val="00626A55"/>
    <w:rsid w:val="0063575D"/>
    <w:rsid w:val="00695171"/>
    <w:rsid w:val="006A122C"/>
    <w:rsid w:val="006A765D"/>
    <w:rsid w:val="006C3609"/>
    <w:rsid w:val="007138A8"/>
    <w:rsid w:val="00720D0B"/>
    <w:rsid w:val="007371C8"/>
    <w:rsid w:val="007605AD"/>
    <w:rsid w:val="0076634D"/>
    <w:rsid w:val="00777BF5"/>
    <w:rsid w:val="007B5378"/>
    <w:rsid w:val="007E5575"/>
    <w:rsid w:val="00875613"/>
    <w:rsid w:val="008A5596"/>
    <w:rsid w:val="00915446"/>
    <w:rsid w:val="00934C53"/>
    <w:rsid w:val="009651E7"/>
    <w:rsid w:val="00965A0D"/>
    <w:rsid w:val="00996FBC"/>
    <w:rsid w:val="009C1CAC"/>
    <w:rsid w:val="009E45DC"/>
    <w:rsid w:val="009E730D"/>
    <w:rsid w:val="009F61D9"/>
    <w:rsid w:val="00A03FC5"/>
    <w:rsid w:val="00A10934"/>
    <w:rsid w:val="00A66AF2"/>
    <w:rsid w:val="00A674E2"/>
    <w:rsid w:val="00A8789B"/>
    <w:rsid w:val="00AC157D"/>
    <w:rsid w:val="00AC30CC"/>
    <w:rsid w:val="00AD52F3"/>
    <w:rsid w:val="00AF4816"/>
    <w:rsid w:val="00B369A8"/>
    <w:rsid w:val="00BB3B5E"/>
    <w:rsid w:val="00BC0727"/>
    <w:rsid w:val="00BC3F20"/>
    <w:rsid w:val="00BD5F2D"/>
    <w:rsid w:val="00C262CD"/>
    <w:rsid w:val="00C544DD"/>
    <w:rsid w:val="00C9413A"/>
    <w:rsid w:val="00CE2C96"/>
    <w:rsid w:val="00CE72CE"/>
    <w:rsid w:val="00D529C8"/>
    <w:rsid w:val="00D53A3A"/>
    <w:rsid w:val="00D67AB6"/>
    <w:rsid w:val="00DC22C0"/>
    <w:rsid w:val="00DC6C8C"/>
    <w:rsid w:val="00DD62B7"/>
    <w:rsid w:val="00E21F26"/>
    <w:rsid w:val="00E446ED"/>
    <w:rsid w:val="00E557F1"/>
    <w:rsid w:val="00E716FE"/>
    <w:rsid w:val="00ED1EB1"/>
    <w:rsid w:val="00ED6A64"/>
    <w:rsid w:val="00F26E02"/>
    <w:rsid w:val="00F271F3"/>
    <w:rsid w:val="00F51CF1"/>
    <w:rsid w:val="00F65E2D"/>
    <w:rsid w:val="00F771EC"/>
    <w:rsid w:val="00F848D1"/>
    <w:rsid w:val="00FB0408"/>
    <w:rsid w:val="00FB5279"/>
    <w:rsid w:val="00FB6792"/>
    <w:rsid w:val="00FD77E4"/>
    <w:rsid w:val="00FE092C"/>
    <w:rsid w:val="00FE39A4"/>
    <w:rsid w:val="1D0E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A403"/>
  <w15:chartTrackingRefBased/>
  <w15:docId w15:val="{ABBBD66A-776E-451C-8697-171672E3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B7"/>
    <w:pPr>
      <w:spacing w:before="120" w:after="0" w:line="240" w:lineRule="auto"/>
    </w:pPr>
    <w:rPr>
      <w:rFonts w:eastAsia="Time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2B7"/>
    <w:pPr>
      <w:keepNext/>
      <w:keepLines/>
      <w:numPr>
        <w:numId w:val="4"/>
      </w:numPr>
      <w:spacing w:before="240" w:after="120"/>
      <w:outlineLvl w:val="0"/>
    </w:pPr>
    <w:rPr>
      <w:rFonts w:cstheme="majorBidi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F61D9"/>
    <w:pPr>
      <w:numPr>
        <w:ilvl w:val="1"/>
      </w:numPr>
      <w:tabs>
        <w:tab w:val="left" w:pos="360"/>
      </w:tabs>
      <w:spacing w:before="120" w:after="0"/>
      <w:ind w:left="360" w:hanging="360"/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5A8"/>
  </w:style>
  <w:style w:type="paragraph" w:styleId="Footer">
    <w:name w:val="footer"/>
    <w:basedOn w:val="Normal"/>
    <w:link w:val="FooterChar"/>
    <w:uiPriority w:val="99"/>
    <w:unhideWhenUsed/>
    <w:rsid w:val="00051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5A8"/>
  </w:style>
  <w:style w:type="paragraph" w:styleId="ListParagraph">
    <w:name w:val="List Paragraph"/>
    <w:basedOn w:val="Normal"/>
    <w:uiPriority w:val="34"/>
    <w:qFormat/>
    <w:rsid w:val="00DD62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62B7"/>
    <w:rPr>
      <w:rFonts w:eastAsia="Times" w:cstheme="majorBid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C0727"/>
    <w:pPr>
      <w:spacing w:before="0"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5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502B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02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502B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F61D9"/>
    <w:rPr>
      <w:rFonts w:eastAsia="Times" w:cstheme="majorBidi"/>
      <w:szCs w:val="24"/>
    </w:rPr>
  </w:style>
  <w:style w:type="table" w:styleId="GridTable4-Accent5">
    <w:name w:val="Grid Table 4 Accent 5"/>
    <w:basedOn w:val="TableNormal"/>
    <w:uiPriority w:val="49"/>
    <w:rsid w:val="001B44B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uiPriority w:val="1"/>
    <w:qFormat/>
    <w:rsid w:val="009E45D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1E7"/>
    <w:rPr>
      <w:rFonts w:eastAsia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1E7"/>
    <w:rPr>
      <w:rFonts w:eastAsia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1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E7"/>
    <w:rPr>
      <w:rFonts w:ascii="Segoe UI" w:eastAsia="Times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5613"/>
    <w:pPr>
      <w:spacing w:after="0" w:line="240" w:lineRule="auto"/>
    </w:pPr>
    <w:rPr>
      <w:rFonts w:eastAsia="Times" w:cs="Times New Roman"/>
    </w:rPr>
  </w:style>
  <w:style w:type="character" w:styleId="Hyperlink">
    <w:name w:val="Hyperlink"/>
    <w:basedOn w:val="DefaultParagraphFont"/>
    <w:uiPriority w:val="99"/>
    <w:unhideWhenUsed/>
    <w:rsid w:val="00FB6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6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6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2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metec@asm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metec@asm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09179a2-fbff-406e-8166-90c539ef3b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4B80EEF8AF14BA7EEE5481216C1AB" ma:contentTypeVersion="7" ma:contentTypeDescription="Create a new document." ma:contentTypeScope="" ma:versionID="8f5e424cd763d8a8269e438104514b70">
  <xsd:schema xmlns:xsd="http://www.w3.org/2001/XMLSchema" xmlns:xs="http://www.w3.org/2001/XMLSchema" xmlns:p="http://schemas.microsoft.com/office/2006/metadata/properties" xmlns:ns2="e09179a2-fbff-406e-8166-90c539ef3b45" xmlns:ns3="e7a0a3cc-ec51-4524-985e-785870beff12" targetNamespace="http://schemas.microsoft.com/office/2006/metadata/properties" ma:root="true" ma:fieldsID="a5a6ff24296bed7a78535c3e317fc260" ns2:_="" ns3:_="">
    <xsd:import namespace="e09179a2-fbff-406e-8166-90c539ef3b45"/>
    <xsd:import namespace="e7a0a3cc-ec51-4524-985e-785870bef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179a2-fbff-406e-8166-90c539ef3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a3cc-ec51-4524-985e-785870bef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38FF-1299-4B95-A67A-CC3F1E6BE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D3B83-A07F-4D8B-B480-FE8320859BC5}">
  <ds:schemaRefs>
    <ds:schemaRef ds:uri="http://schemas.microsoft.com/office/2006/metadata/properties"/>
    <ds:schemaRef ds:uri="http://schemas.microsoft.com/office/infopath/2007/PartnerControls"/>
    <ds:schemaRef ds:uri="e09179a2-fbff-406e-8166-90c539ef3b45"/>
  </ds:schemaRefs>
</ds:datastoreItem>
</file>

<file path=customXml/itemProps3.xml><?xml version="1.0" encoding="utf-8"?>
<ds:datastoreItem xmlns:ds="http://schemas.openxmlformats.org/officeDocument/2006/customXml" ds:itemID="{4A9E7AEB-B084-475A-922E-F3592994F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179a2-fbff-406e-8166-90c539ef3b45"/>
    <ds:schemaRef ds:uri="e7a0a3cc-ec51-4524-985e-785870bef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2649B-5C16-4775-A832-2B085792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ASME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J. Koehr</dc:creator>
  <cp:keywords/>
  <dc:description/>
  <cp:lastModifiedBy>Krishna Hernandez</cp:lastModifiedBy>
  <cp:revision>2</cp:revision>
  <dcterms:created xsi:type="dcterms:W3CDTF">2022-08-24T17:26:00Z</dcterms:created>
  <dcterms:modified xsi:type="dcterms:W3CDTF">2022-08-24T17:26:00Z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0x010100F484B80EEF8AF14BA7EEE5481216C1AB</vt:lpwstr>
  </property>
</Properties>
</file>